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FD" w:rsidRPr="00BF527F" w:rsidRDefault="00E329FD" w:rsidP="00E329FD">
      <w:pPr>
        <w:jc w:val="center"/>
        <w:rPr>
          <w:color w:val="1B1B1B"/>
        </w:rPr>
      </w:pPr>
      <w:r>
        <w:rPr>
          <w:noProof/>
          <w:color w:val="363636"/>
        </w:rPr>
        <w:drawing>
          <wp:inline distT="0" distB="0" distL="0" distR="0">
            <wp:extent cx="676275" cy="704850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АДМИНИСТРАЦИЯ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МУНИЦИПАЛЬНОГО ОБРАЗОВАНИЯ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ИССАДСКОЕ СЕЛЬСКОЕ ПОСЕЛЕНИЕ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ВОЛХОВСКОГО МУНИЦИПАЛЬНОГО РАЙОНА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ЛЕНИНГРАДСКОЙ ОБЛАСТИ</w:t>
      </w:r>
    </w:p>
    <w:p w:rsidR="00E329FD" w:rsidRPr="00BF527F" w:rsidRDefault="00E329FD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 xml:space="preserve">ПОСТАНОВЛЕНИЕ </w:t>
      </w:r>
      <w:r w:rsidR="007E185D">
        <w:rPr>
          <w:b/>
          <w:color w:val="1B1B1B"/>
        </w:rPr>
        <w:t>ПРОЕКТ</w:t>
      </w:r>
    </w:p>
    <w:p w:rsidR="001541A0" w:rsidRPr="00BF527F" w:rsidRDefault="001541A0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</w:pPr>
      <w:r>
        <w:t xml:space="preserve">от </w:t>
      </w:r>
      <w:r w:rsidR="001541A0">
        <w:t xml:space="preserve"> </w:t>
      </w:r>
      <w:r w:rsidR="007E185D">
        <w:t>_________________</w:t>
      </w:r>
      <w:r w:rsidRPr="00BF527F">
        <w:t xml:space="preserve">года </w:t>
      </w:r>
      <w:r>
        <w:t xml:space="preserve">                                                                             </w:t>
      </w:r>
      <w:r w:rsidRPr="00BF527F">
        <w:t>№</w:t>
      </w:r>
      <w:r>
        <w:t xml:space="preserve"> </w:t>
      </w:r>
    </w:p>
    <w:p w:rsidR="00E329FD" w:rsidRDefault="00E329FD" w:rsidP="00E329FD">
      <w:pPr>
        <w:jc w:val="center"/>
      </w:pPr>
    </w:p>
    <w:p w:rsidR="00E329FD" w:rsidRPr="00BF527F" w:rsidRDefault="00E329FD" w:rsidP="00E329FD">
      <w:pPr>
        <w:jc w:val="center"/>
      </w:pPr>
      <w:r>
        <w:t>Иссад</w:t>
      </w:r>
    </w:p>
    <w:p w:rsidR="00B82EEE" w:rsidRDefault="00B82EEE" w:rsidP="00B82EEE">
      <w:pPr>
        <w:rPr>
          <w:b/>
        </w:rPr>
      </w:pPr>
    </w:p>
    <w:p w:rsidR="00666C15" w:rsidRDefault="00B82EEE" w:rsidP="00B82EEE">
      <w:pPr>
        <w:jc w:val="center"/>
        <w:rPr>
          <w:b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:rsidR="001C4AE1" w:rsidRDefault="001C4AE1" w:rsidP="00B82EEE">
      <w:pPr>
        <w:jc w:val="center"/>
        <w:rPr>
          <w:b/>
        </w:rPr>
      </w:pPr>
      <w:r>
        <w:rPr>
          <w:b/>
        </w:rPr>
        <w:t xml:space="preserve">Иссадского сельского поселения </w:t>
      </w:r>
    </w:p>
    <w:p w:rsidR="00E329FD" w:rsidRDefault="00E329FD" w:rsidP="00B82EEE">
      <w:pPr>
        <w:jc w:val="center"/>
        <w:rPr>
          <w:b/>
        </w:rPr>
      </w:pPr>
      <w:r>
        <w:rPr>
          <w:b/>
        </w:rPr>
        <w:t xml:space="preserve">Волховского муниципального района </w:t>
      </w:r>
    </w:p>
    <w:p w:rsidR="00E329FD" w:rsidRDefault="00E329FD" w:rsidP="00B82EE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</w:p>
    <w:p w:rsidR="000A21C2" w:rsidRDefault="00B82EEE" w:rsidP="000A21C2">
      <w:pPr>
        <w:jc w:val="center"/>
        <w:rPr>
          <w:rFonts w:eastAsiaTheme="minorHAnsi"/>
          <w:b/>
          <w:bCs/>
          <w:lang w:eastAsia="en-US"/>
        </w:rPr>
      </w:pP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="000A21C2" w:rsidRPr="000A21C2">
        <w:rPr>
          <w:rFonts w:eastAsiaTheme="minorHAnsi"/>
          <w:b/>
          <w:bCs/>
          <w:lang w:eastAsia="en-US"/>
        </w:rPr>
        <w:t>муниципально</w:t>
      </w:r>
      <w:r w:rsidR="000A21C2">
        <w:rPr>
          <w:rFonts w:eastAsiaTheme="minorHAnsi"/>
          <w:b/>
          <w:bCs/>
          <w:lang w:eastAsia="en-US"/>
        </w:rPr>
        <w:t>го</w:t>
      </w:r>
      <w:r w:rsidR="000A21C2" w:rsidRPr="000A21C2">
        <w:rPr>
          <w:rFonts w:eastAsiaTheme="minorHAnsi"/>
          <w:b/>
          <w:bCs/>
          <w:lang w:eastAsia="en-US"/>
        </w:rPr>
        <w:t xml:space="preserve"> контрол</w:t>
      </w:r>
      <w:r w:rsidR="000A21C2">
        <w:rPr>
          <w:rFonts w:eastAsiaTheme="minorHAnsi"/>
          <w:b/>
          <w:bCs/>
          <w:lang w:eastAsia="en-US"/>
        </w:rPr>
        <w:t>я</w:t>
      </w:r>
    </w:p>
    <w:p w:rsidR="000A21C2" w:rsidRDefault="000A21C2" w:rsidP="000A21C2">
      <w:pPr>
        <w:jc w:val="center"/>
        <w:rPr>
          <w:rFonts w:eastAsiaTheme="minorHAnsi"/>
          <w:b/>
          <w:bCs/>
          <w:lang w:eastAsia="en-US"/>
        </w:rPr>
      </w:pPr>
      <w:r w:rsidRPr="000A21C2">
        <w:rPr>
          <w:rFonts w:eastAsiaTheme="minorHAnsi"/>
          <w:b/>
          <w:bCs/>
          <w:lang w:eastAsia="en-US"/>
        </w:rPr>
        <w:t xml:space="preserve"> на автомобильном транспорте и в дорожном</w:t>
      </w:r>
    </w:p>
    <w:p w:rsidR="007540B8" w:rsidRDefault="000A21C2" w:rsidP="000A21C2">
      <w:pPr>
        <w:jc w:val="center"/>
        <w:rPr>
          <w:rFonts w:eastAsiaTheme="minorHAnsi"/>
          <w:b/>
          <w:bCs/>
          <w:lang w:eastAsia="en-US"/>
        </w:rPr>
      </w:pPr>
      <w:r w:rsidRPr="000A21C2">
        <w:rPr>
          <w:rFonts w:eastAsiaTheme="minorHAnsi"/>
          <w:b/>
          <w:bCs/>
          <w:lang w:eastAsia="en-US"/>
        </w:rPr>
        <w:t xml:space="preserve"> хозяйстве </w:t>
      </w:r>
      <w:r w:rsidR="005223EB">
        <w:rPr>
          <w:rFonts w:eastAsiaTheme="minorHAnsi"/>
          <w:b/>
          <w:bCs/>
          <w:lang w:eastAsia="en-US"/>
        </w:rPr>
        <w:t xml:space="preserve">в границах </w:t>
      </w:r>
    </w:p>
    <w:p w:rsidR="00E329FD" w:rsidRDefault="001C4AE1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Иссадского сельского поселения</w:t>
      </w:r>
    </w:p>
    <w:p w:rsidR="007540B8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F80A74">
        <w:rPr>
          <w:rFonts w:eastAsiaTheme="minorHAnsi"/>
          <w:b/>
          <w:bCs/>
          <w:lang w:eastAsia="en-US"/>
        </w:rPr>
        <w:t xml:space="preserve"> </w:t>
      </w:r>
      <w:r w:rsidR="00407D65">
        <w:rPr>
          <w:rFonts w:eastAsiaTheme="minorHAnsi"/>
          <w:b/>
          <w:bCs/>
          <w:lang w:eastAsia="en-US"/>
        </w:rPr>
        <w:t>на 202</w:t>
      </w:r>
      <w:r w:rsidR="007E185D">
        <w:rPr>
          <w:rFonts w:eastAsiaTheme="minorHAnsi"/>
          <w:b/>
          <w:bCs/>
          <w:lang w:eastAsia="en-US"/>
        </w:rPr>
        <w:t>6</w:t>
      </w:r>
      <w:r w:rsidR="00407D65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F80A74">
        <w:rPr>
          <w:rFonts w:eastAsiaTheme="minorHAnsi"/>
          <w:lang w:eastAsia="en-US"/>
        </w:rPr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E329FD">
        <w:t xml:space="preserve"> </w:t>
      </w:r>
      <w:r w:rsidRPr="00666C15">
        <w:t>п о с т а н о в л я ю:</w:t>
      </w:r>
    </w:p>
    <w:p w:rsidR="00164668" w:rsidRPr="0018750F" w:rsidRDefault="00164668" w:rsidP="005223EB">
      <w:pPr>
        <w:ind w:firstLine="708"/>
        <w:jc w:val="both"/>
      </w:pPr>
      <w:r w:rsidRPr="0018750F">
        <w:t xml:space="preserve">1. Утвердить программу </w:t>
      </w:r>
      <w:r w:rsidR="00E329FD">
        <w:t>Иссадско</w:t>
      </w:r>
      <w:r w:rsidR="001C4AE1">
        <w:t>го</w:t>
      </w:r>
      <w:r w:rsidR="00E329FD">
        <w:t xml:space="preserve">  сельско</w:t>
      </w:r>
      <w:r w:rsidR="001C4AE1">
        <w:t>го</w:t>
      </w:r>
      <w:r w:rsidR="00E329FD">
        <w:t xml:space="preserve"> поселени</w:t>
      </w:r>
      <w:r w:rsidR="001C4AE1">
        <w:t>я</w:t>
      </w:r>
      <w:r w:rsidR="00E329FD">
        <w:t xml:space="preserve"> </w:t>
      </w:r>
      <w:r>
        <w:t>Волховского муниципального</w:t>
      </w:r>
      <w:r w:rsidRPr="0018750F">
        <w:t xml:space="preserve"> района</w:t>
      </w:r>
      <w:r w:rsidR="00E329FD">
        <w:t xml:space="preserve"> Ленинградской области</w:t>
      </w:r>
      <w:r w:rsidRPr="0018750F">
        <w:t xml:space="preserve">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 w:rsidR="000A21C2">
        <w:rPr>
          <w:rFonts w:eastAsiaTheme="minorHAnsi"/>
          <w:bCs/>
          <w:lang w:eastAsia="en-US"/>
        </w:rPr>
        <w:t xml:space="preserve">осуществления муниципального контроля на автомобильном транспорте и в дорожном хозяйстве </w:t>
      </w:r>
      <w:r w:rsidR="005223EB" w:rsidRPr="005223EB">
        <w:rPr>
          <w:rFonts w:eastAsiaTheme="minorHAnsi"/>
          <w:bCs/>
          <w:lang w:eastAsia="en-US"/>
        </w:rPr>
        <w:t>в границах</w:t>
      </w:r>
      <w:r w:rsidR="00E329FD">
        <w:rPr>
          <w:rFonts w:eastAsiaTheme="minorHAnsi"/>
          <w:bCs/>
          <w:lang w:eastAsia="en-US"/>
        </w:rPr>
        <w:t xml:space="preserve"> </w:t>
      </w:r>
      <w:r w:rsidR="001C4AE1">
        <w:t>Иссадского  сельского поселения Волховского муниципального</w:t>
      </w:r>
      <w:r w:rsidR="001C4AE1" w:rsidRPr="0018750F">
        <w:t xml:space="preserve"> района</w:t>
      </w:r>
      <w:r w:rsidR="001C4AE1">
        <w:t xml:space="preserve"> Ленинградской области</w:t>
      </w:r>
      <w:r w:rsidR="001C4AE1" w:rsidRPr="0018750F">
        <w:t xml:space="preserve"> </w:t>
      </w:r>
      <w:r w:rsidR="00407D65" w:rsidRPr="007540B8">
        <w:rPr>
          <w:rFonts w:eastAsiaTheme="minorHAnsi"/>
          <w:bCs/>
          <w:lang w:eastAsia="en-US"/>
        </w:rPr>
        <w:t>на 202</w:t>
      </w:r>
      <w:r w:rsidR="007E185D">
        <w:rPr>
          <w:rFonts w:eastAsiaTheme="minorHAnsi"/>
          <w:bCs/>
          <w:lang w:eastAsia="en-US"/>
        </w:rPr>
        <w:t>6</w:t>
      </w:r>
      <w:r w:rsidR="00407D65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E329FD">
        <w:rPr>
          <w:rFonts w:eastAsiaTheme="minorHAnsi"/>
          <w:bCs/>
          <w:lang w:eastAsia="en-US"/>
        </w:rPr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C4AE1" w:rsidRDefault="001C4AE1" w:rsidP="00164668">
      <w:pPr>
        <w:ind w:firstLine="708"/>
        <w:jc w:val="both"/>
      </w:pPr>
    </w:p>
    <w:p w:rsidR="001C4AE1" w:rsidRDefault="001C4AE1" w:rsidP="00164668">
      <w:pPr>
        <w:ind w:firstLine="708"/>
        <w:jc w:val="both"/>
      </w:pPr>
    </w:p>
    <w:p w:rsidR="00164668" w:rsidRDefault="00FF314A" w:rsidP="00164668">
      <w:pPr>
        <w:ind w:firstLine="708"/>
        <w:jc w:val="both"/>
      </w:pPr>
      <w:r>
        <w:t>3</w:t>
      </w:r>
      <w:r w:rsidR="00164668" w:rsidRPr="0018750F">
        <w:t xml:space="preserve">. </w:t>
      </w:r>
      <w:r w:rsidR="00E329FD">
        <w:t>Контроль за исполнением постановления оставляю за собой</w:t>
      </w:r>
      <w:r>
        <w:t>.</w:t>
      </w:r>
    </w:p>
    <w:p w:rsidR="00E329FD" w:rsidRDefault="00E329FD" w:rsidP="00164668">
      <w:pPr>
        <w:ind w:firstLine="708"/>
        <w:jc w:val="both"/>
      </w:pPr>
    </w:p>
    <w:p w:rsidR="00E329FD" w:rsidRDefault="00E329FD" w:rsidP="00164668">
      <w:pPr>
        <w:ind w:firstLine="708"/>
        <w:jc w:val="both"/>
      </w:pPr>
    </w:p>
    <w:p w:rsidR="007540B8" w:rsidRDefault="007540B8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bookmarkStart w:id="0" w:name="_GoBack"/>
      <w:bookmarkEnd w:id="0"/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E329FD">
        <w:t>Н.Б. 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lastRenderedPageBreak/>
        <w:t xml:space="preserve">Программа </w:t>
      </w:r>
    </w:p>
    <w:bookmarkEnd w:id="1"/>
    <w:bookmarkEnd w:id="2"/>
    <w:bookmarkEnd w:id="3"/>
    <w:p w:rsidR="007540B8" w:rsidRPr="007540B8" w:rsidRDefault="007540B8" w:rsidP="00532CDA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контроля </w:t>
      </w:r>
      <w:r w:rsidR="000A21C2">
        <w:rPr>
          <w:rFonts w:eastAsiaTheme="minorHAnsi"/>
          <w:bCs/>
          <w:lang w:eastAsia="en-US"/>
        </w:rPr>
        <w:t xml:space="preserve"> на автомобильном транспорте  и в дорожном хозяйстве </w:t>
      </w:r>
      <w:r w:rsidR="00532CDA" w:rsidRPr="00532CDA">
        <w:rPr>
          <w:rFonts w:eastAsiaTheme="minorHAnsi"/>
          <w:bCs/>
          <w:lang w:eastAsia="en-US"/>
        </w:rPr>
        <w:t xml:space="preserve">в границах </w:t>
      </w:r>
      <w:r w:rsidR="001C4AE1">
        <w:t>Иссадского  сельского поселения Волховского муниципального</w:t>
      </w:r>
      <w:r w:rsidR="001C4AE1" w:rsidRPr="0018750F">
        <w:t xml:space="preserve"> района</w:t>
      </w:r>
      <w:r w:rsidR="001C4AE1">
        <w:t xml:space="preserve"> Ленинградской области</w:t>
      </w:r>
      <w:r w:rsidR="001C4AE1" w:rsidRPr="0018750F">
        <w:t xml:space="preserve"> </w:t>
      </w:r>
      <w:r w:rsidRPr="007540B8">
        <w:rPr>
          <w:rFonts w:eastAsiaTheme="minorHAnsi"/>
          <w:bCs/>
          <w:lang w:eastAsia="en-US"/>
        </w:rPr>
        <w:t>на 202</w:t>
      </w:r>
      <w:r w:rsidR="007E185D">
        <w:rPr>
          <w:rFonts w:eastAsiaTheme="minorHAnsi"/>
          <w:bCs/>
          <w:lang w:eastAsia="en-US"/>
        </w:rPr>
        <w:t>6</w:t>
      </w:r>
      <w:r w:rsidR="005E18B7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год</w:t>
      </w:r>
    </w:p>
    <w:p w:rsidR="00D14DF5" w:rsidRPr="00990C6A" w:rsidRDefault="00D14DF5" w:rsidP="00D14DF5">
      <w:pPr>
        <w:jc w:val="center"/>
      </w:pP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1C4AE1">
            <w:pPr>
              <w:jc w:val="both"/>
            </w:pPr>
            <w:r w:rsidRPr="00990C6A">
              <w:t>Программа профилактики рисков причинения вреда</w:t>
            </w:r>
            <w:r w:rsidR="00407D65">
              <w:t xml:space="preserve"> (ущерба)</w:t>
            </w:r>
            <w:r w:rsidRPr="00990C6A">
              <w:t xml:space="preserve"> охраняемым законом ценностям в сфере</w:t>
            </w:r>
            <w:r w:rsidR="00E726DA" w:rsidRPr="00990C6A">
              <w:t xml:space="preserve"> осуществления</w:t>
            </w:r>
            <w:r w:rsidRPr="00990C6A">
              <w:t xml:space="preserve"> муниципального </w:t>
            </w:r>
            <w:r w:rsidR="007540B8">
              <w:t xml:space="preserve">контроля </w:t>
            </w:r>
            <w:r w:rsidR="000A21C2">
              <w:rPr>
                <w:rFonts w:eastAsiaTheme="minorHAnsi"/>
                <w:bCs/>
                <w:lang w:eastAsia="en-US"/>
              </w:rPr>
              <w:t xml:space="preserve">на автомобильном транспорте  и в дорожном хозяйстве </w:t>
            </w:r>
            <w:r w:rsidR="00532CDA" w:rsidRPr="00532CDA">
              <w:rPr>
                <w:rFonts w:eastAsiaTheme="minorHAnsi"/>
                <w:bCs/>
                <w:lang w:eastAsia="en-US"/>
              </w:rPr>
              <w:t>в границ</w:t>
            </w:r>
            <w:r w:rsidR="001C4AE1">
              <w:rPr>
                <w:rFonts w:eastAsiaTheme="minorHAnsi"/>
                <w:bCs/>
                <w:lang w:eastAsia="en-US"/>
              </w:rPr>
              <w:t>ах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</w:t>
            </w:r>
            <w:r w:rsidR="001C4AE1">
              <w:t>Иссадского  сельского поселения Волховского муниципального</w:t>
            </w:r>
            <w:r w:rsidR="001C4AE1" w:rsidRPr="0018750F">
              <w:t xml:space="preserve"> района</w:t>
            </w:r>
            <w:r w:rsidR="001C4AE1">
              <w:t xml:space="preserve"> Ленинградской области</w:t>
            </w:r>
            <w:r w:rsidR="00E329FD">
              <w:rPr>
                <w:rFonts w:eastAsiaTheme="minorHAnsi"/>
                <w:bCs/>
                <w:lang w:eastAsia="en-US"/>
              </w:rPr>
              <w:t xml:space="preserve"> </w:t>
            </w:r>
            <w:r w:rsidR="00E329FD" w:rsidRPr="007540B8">
              <w:rPr>
                <w:rFonts w:eastAsiaTheme="minorHAnsi"/>
                <w:bCs/>
                <w:lang w:eastAsia="en-US"/>
              </w:rPr>
              <w:t>на 202</w:t>
            </w:r>
            <w:r w:rsidR="007E185D">
              <w:rPr>
                <w:rFonts w:eastAsiaTheme="minorHAnsi"/>
                <w:bCs/>
                <w:lang w:eastAsia="en-US"/>
              </w:rPr>
              <w:t>6</w:t>
            </w:r>
            <w:r w:rsidR="00E329FD" w:rsidRPr="007540B8">
              <w:rPr>
                <w:rFonts w:eastAsiaTheme="minorHAnsi"/>
                <w:bCs/>
                <w:lang w:eastAsia="en-US"/>
              </w:rPr>
              <w:t xml:space="preserve"> год</w:t>
            </w:r>
            <w:r w:rsidR="00E329FD">
              <w:t xml:space="preserve"> </w:t>
            </w:r>
            <w:r w:rsidR="00490CA8">
              <w:t>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46C4F" w:rsidRPr="00990C6A" w:rsidTr="00E46C4F">
        <w:trPr>
          <w:trHeight w:val="1114"/>
        </w:trPr>
        <w:tc>
          <w:tcPr>
            <w:tcW w:w="2532" w:type="dxa"/>
            <w:shd w:val="clear" w:color="auto" w:fill="auto"/>
          </w:tcPr>
          <w:p w:rsidR="00E46C4F" w:rsidRPr="00990C6A" w:rsidRDefault="00E46C4F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46C4F" w:rsidRPr="00990C6A" w:rsidRDefault="00E329FD" w:rsidP="00E46C4F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E46C4F" w:rsidRPr="00E46C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Иссадское сельское поселение </w:t>
            </w:r>
            <w:r w:rsidR="00E46C4F" w:rsidRPr="00E46C4F">
              <w:rPr>
                <w:sz w:val="28"/>
                <w:szCs w:val="28"/>
              </w:rPr>
              <w:t>Волховского муниципального района</w:t>
            </w:r>
            <w:r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E329FD" w:rsidP="00490CA8">
            <w:pPr>
              <w:rPr>
                <w:lang w:bidi="ru-RU"/>
              </w:rPr>
            </w:pPr>
            <w:r>
              <w:t xml:space="preserve">Администрация муниципального образования </w:t>
            </w:r>
            <w:r w:rsidRPr="00E46C4F">
              <w:t xml:space="preserve"> </w:t>
            </w:r>
            <w:r>
              <w:t xml:space="preserve"> Иссадское сельское поселение </w:t>
            </w:r>
            <w:r w:rsidRPr="00E46C4F">
              <w:t>Волховского муниципального района</w:t>
            </w:r>
            <w:r>
              <w:t xml:space="preserve"> Ленинградской области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 xml:space="preserve">Выявление причин, факторов и условий, способствующих нарушениям обязательных требований, </w:t>
            </w:r>
            <w:r w:rsidRPr="00990C6A">
              <w:lastRenderedPageBreak/>
              <w:t>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7E185D">
              <w:rPr>
                <w:sz w:val="28"/>
                <w:szCs w:val="28"/>
              </w:rPr>
              <w:t>6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453A2D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1C4AE1">
              <w:t>Иссадского  сельского поселения Волховского муниципального</w:t>
            </w:r>
            <w:r w:rsidR="001C4AE1" w:rsidRPr="0018750F">
              <w:t xml:space="preserve"> района</w:t>
            </w:r>
            <w:r w:rsidR="001C4AE1">
              <w:t xml:space="preserve">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1C4AE1">
              <w:rPr>
                <w:color w:val="000000"/>
              </w:rPr>
              <w:t>муниципального образования Иссадское сельское поселение Волховского муниципального района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администрации </w:t>
            </w:r>
            <w:r w:rsidR="00453A2D">
              <w:rPr>
                <w:color w:val="000000"/>
              </w:rPr>
              <w:t xml:space="preserve">муниципального образования Иссадское сельское поселение </w:t>
            </w:r>
            <w:r w:rsidRPr="00990C6A">
              <w:rPr>
                <w:color w:val="000000"/>
              </w:rPr>
              <w:t>Волховского муниципального района</w:t>
            </w:r>
            <w:r w:rsidR="00453A2D">
              <w:rPr>
                <w:color w:val="000000"/>
              </w:rPr>
              <w:t xml:space="preserve">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1C4AE1">
              <w:t>Иссадского  сельского поселения Волховского муниципального</w:t>
            </w:r>
            <w:r w:rsidR="001C4AE1" w:rsidRPr="0018750F">
              <w:t xml:space="preserve"> района</w:t>
            </w:r>
            <w:r w:rsidR="001C4AE1">
              <w:t xml:space="preserve">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10. Обеспечение единообразия понимания предмета </w:t>
            </w:r>
            <w:r w:rsidRPr="00990C6A">
              <w:rPr>
                <w:color w:val="000000"/>
              </w:rPr>
              <w:lastRenderedPageBreak/>
              <w:t>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 xml:space="preserve">администрации </w:t>
      </w:r>
      <w:r w:rsidR="00453A2D">
        <w:rPr>
          <w:b/>
        </w:rPr>
        <w:t xml:space="preserve">муниципального образования Иссадское сельское поселение </w:t>
      </w:r>
      <w:r w:rsidR="00E87EFB" w:rsidRPr="00CA6331">
        <w:rPr>
          <w:b/>
        </w:rPr>
        <w:t>Волховского муниципального района</w:t>
      </w:r>
      <w:r w:rsidR="00453A2D">
        <w:rPr>
          <w:b/>
        </w:rPr>
        <w:t xml:space="preserve"> Ленинградской области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 w:rsidR="00BB62EA">
        <w:rPr>
          <w:rFonts w:eastAsiaTheme="minorHAnsi"/>
          <w:bCs/>
          <w:lang w:eastAsia="en-US"/>
        </w:rPr>
        <w:t>муниципальный</w:t>
      </w:r>
      <w:r w:rsidR="00BB62EA" w:rsidRPr="007540B8">
        <w:rPr>
          <w:rFonts w:eastAsiaTheme="minorHAnsi"/>
          <w:bCs/>
          <w:lang w:eastAsia="en-US"/>
        </w:rPr>
        <w:t xml:space="preserve"> контрол</w:t>
      </w:r>
      <w:r w:rsidR="00BB62EA">
        <w:rPr>
          <w:rFonts w:eastAsiaTheme="minorHAnsi"/>
          <w:bCs/>
          <w:lang w:eastAsia="en-US"/>
        </w:rPr>
        <w:t>ь на автомобильном транспорте  и в дорожном хозяйстве</w:t>
      </w:r>
      <w:r w:rsidR="007540B8">
        <w:t>.</w:t>
      </w:r>
    </w:p>
    <w:p w:rsidR="00BB62EA" w:rsidRDefault="00BB62EA" w:rsidP="00BB62EA">
      <w:pPr>
        <w:ind w:firstLine="709"/>
        <w:jc w:val="both"/>
      </w:pPr>
      <w:r>
        <w:t>1.2. Предметом муниципального контроля является:</w:t>
      </w:r>
    </w:p>
    <w:p w:rsidR="00BB62EA" w:rsidRDefault="00BB62EA" w:rsidP="00BB62EA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BB62EA" w:rsidRDefault="00BB62EA" w:rsidP="00BB62EA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BB62EA" w:rsidRDefault="00BB62EA" w:rsidP="00BB62EA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62EA" w:rsidRDefault="00BB62EA" w:rsidP="00BB62EA">
      <w:pPr>
        <w:ind w:firstLine="709"/>
        <w:jc w:val="both"/>
      </w:pPr>
      <w:r>
        <w:t>в)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62EA" w:rsidRDefault="00BB62EA" w:rsidP="00BB62EA">
      <w:pPr>
        <w:ind w:firstLine="709"/>
        <w:jc w:val="both"/>
      </w:pPr>
      <w:r>
        <w:t>г) исполнение решений, принимаемых по результатам контрольных мероприятий.</w:t>
      </w:r>
    </w:p>
    <w:p w:rsidR="00BB62EA" w:rsidRDefault="00BB62EA" w:rsidP="00BB62EA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BB62EA" w:rsidRDefault="00BB62EA" w:rsidP="00BB62EA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BB62EA" w:rsidRDefault="00BB62EA" w:rsidP="00BB62EA">
      <w:pPr>
        <w:ind w:firstLine="709"/>
        <w:jc w:val="both"/>
      </w:pPr>
      <w: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BB62EA" w:rsidRDefault="00BB62EA" w:rsidP="00BB62EA">
      <w:pPr>
        <w:ind w:firstLine="709"/>
        <w:jc w:val="both"/>
      </w:pPr>
      <w:r>
        <w:lastRenderedPageBreak/>
        <w:t>б) деятельность по перевозке пассажиров и иных лиц автобусами, подлежащая лицензированию;</w:t>
      </w:r>
    </w:p>
    <w:p w:rsidR="00BB62EA" w:rsidRDefault="00BB62EA" w:rsidP="00BB62EA">
      <w:pPr>
        <w:ind w:firstLine="709"/>
        <w:jc w:val="both"/>
      </w:pPr>
      <w:r>
        <w:t>в) деятельность по оказанию услуг автовокзалами, автостанциями;</w:t>
      </w:r>
    </w:p>
    <w:p w:rsidR="00BB62EA" w:rsidRDefault="00BB62EA" w:rsidP="00BB62EA">
      <w:pPr>
        <w:ind w:firstLine="709"/>
        <w:jc w:val="both"/>
      </w:pPr>
      <w:r>
        <w:t>г) деятельность по осуществлению международных автомобильных перевозок;</w:t>
      </w:r>
    </w:p>
    <w:p w:rsidR="00BB62EA" w:rsidRDefault="00BB62EA" w:rsidP="00BB62EA">
      <w:pPr>
        <w:ind w:firstLine="709"/>
        <w:jc w:val="both"/>
      </w:pPr>
      <w:r>
        <w:t>д)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>е) деятельность по использованию полос отвода и (или) придорожных полос автомобильных дорог общего пользования местного значения ;</w:t>
      </w:r>
    </w:p>
    <w:p w:rsidR="00BB62EA" w:rsidRDefault="00BB62EA" w:rsidP="00BB62EA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BB62EA" w:rsidRDefault="00BB62EA" w:rsidP="00BB62EA">
      <w:pPr>
        <w:ind w:firstLine="709"/>
        <w:jc w:val="both"/>
      </w:pPr>
      <w: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BB62EA" w:rsidRDefault="00BB62EA" w:rsidP="00BB62EA">
      <w:pPr>
        <w:ind w:firstLine="709"/>
        <w:jc w:val="both"/>
      </w:pPr>
      <w:r>
        <w:t>б)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:rsidR="00BB62EA" w:rsidRDefault="00BB62EA" w:rsidP="00BB62EA">
      <w:pPr>
        <w:ind w:firstLine="709"/>
        <w:jc w:val="both"/>
      </w:pPr>
      <w:r>
        <w:t>в)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>г)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>3) здания, помещения, сооружения, линейные объекты, территории, 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:rsidR="00BB62EA" w:rsidRDefault="00BB62EA" w:rsidP="00BB62EA">
      <w:pPr>
        <w:ind w:firstLine="709"/>
        <w:jc w:val="both"/>
      </w:pPr>
      <w:r>
        <w:t>а) остановочный пункт, в том числе расположенный на территории автовокзала или автостанции;</w:t>
      </w:r>
    </w:p>
    <w:p w:rsidR="00BB62EA" w:rsidRDefault="00BB62EA" w:rsidP="00BB62EA">
      <w:pPr>
        <w:ind w:firstLine="709"/>
        <w:jc w:val="both"/>
      </w:pPr>
      <w:r>
        <w:t>б) транспортное средство;</w:t>
      </w:r>
    </w:p>
    <w:p w:rsidR="00BB62EA" w:rsidRDefault="00BB62EA" w:rsidP="00BB62EA">
      <w:pPr>
        <w:ind w:firstLine="709"/>
        <w:jc w:val="both"/>
      </w:pPr>
      <w:r>
        <w:t>в) автомобильная дорога общего пользования местного значения и искусственные дорожные сооружения на ней;</w:t>
      </w:r>
    </w:p>
    <w:p w:rsidR="00BB62EA" w:rsidRDefault="00BB62EA" w:rsidP="00BB62EA">
      <w:pPr>
        <w:ind w:firstLine="709"/>
        <w:jc w:val="both"/>
      </w:pPr>
      <w:r>
        <w:t>г) примыкания к автомобильным дорогам местного значения, в том числе примыкания объектов дорожного сервиса;</w:t>
      </w:r>
    </w:p>
    <w:p w:rsidR="00BB62EA" w:rsidRDefault="00BB62EA" w:rsidP="00BB62EA">
      <w:pPr>
        <w:ind w:firstLine="709"/>
        <w:jc w:val="both"/>
      </w:pPr>
      <w:r>
        <w:t>д)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BB62EA" w:rsidRDefault="00BB62EA" w:rsidP="00BB62EA">
      <w:pPr>
        <w:ind w:firstLine="709"/>
        <w:jc w:val="both"/>
      </w:pPr>
      <w:r>
        <w:t xml:space="preserve">е) придорожные полосы и полосы отвода автомобильных дорог общего пользования. </w:t>
      </w:r>
    </w:p>
    <w:p w:rsidR="00BC1EE6" w:rsidRPr="00490CA8" w:rsidRDefault="00BC1EE6" w:rsidP="00BB62EA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5157E9">
        <w:rPr>
          <w:rFonts w:eastAsia="Calibri"/>
          <w:lang w:eastAsia="en-US"/>
        </w:rPr>
        <w:t xml:space="preserve"> </w:t>
      </w:r>
      <w:r w:rsidR="00453A2D" w:rsidRPr="00990C6A">
        <w:rPr>
          <w:color w:val="000000"/>
        </w:rPr>
        <w:t>администраци</w:t>
      </w:r>
      <w:r w:rsidR="00453A2D">
        <w:rPr>
          <w:color w:val="000000"/>
        </w:rPr>
        <w:t>ей</w:t>
      </w:r>
      <w:r w:rsidR="00453A2D" w:rsidRPr="00990C6A">
        <w:rPr>
          <w:color w:val="000000"/>
        </w:rPr>
        <w:t xml:space="preserve">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Pr="00490CA8">
        <w:t xml:space="preserve"> в 202</w:t>
      </w:r>
      <w:r w:rsidR="007E185D">
        <w:t>6</w:t>
      </w:r>
      <w:r w:rsidRPr="00490CA8">
        <w:t xml:space="preserve"> 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lastRenderedPageBreak/>
        <w:t xml:space="preserve">- </w:t>
      </w:r>
      <w:r w:rsidR="00BC1EE6" w:rsidRPr="00490CA8">
        <w:t xml:space="preserve">размещение на официальном сайте </w:t>
      </w:r>
      <w:r w:rsidR="00453A2D" w:rsidRPr="00990C6A">
        <w:rPr>
          <w:color w:val="000000"/>
        </w:rPr>
        <w:t xml:space="preserve">администрации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="00453A2D" w:rsidRPr="00490CA8">
        <w:t xml:space="preserve"> </w:t>
      </w:r>
      <w:r w:rsidR="00BC1EE6" w:rsidRPr="00490CA8">
        <w:t>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B62EA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BB62EA" w:rsidRPr="007540B8">
        <w:rPr>
          <w:rFonts w:eastAsiaTheme="minorHAnsi"/>
          <w:bCs/>
          <w:lang w:eastAsia="en-US"/>
        </w:rPr>
        <w:t xml:space="preserve">на территории </w:t>
      </w:r>
      <w:r w:rsidR="001C4AE1">
        <w:t>Иссадского  сельского поселения Волховского муниципального</w:t>
      </w:r>
      <w:r w:rsidR="001C4AE1" w:rsidRPr="0018750F">
        <w:t xml:space="preserve"> района</w:t>
      </w:r>
      <w:r w:rsidR="001C4AE1">
        <w:t xml:space="preserve"> Ленинградской области</w:t>
      </w:r>
      <w:r w:rsidR="001C4AE1" w:rsidRPr="0018750F">
        <w:t xml:space="preserve"> </w:t>
      </w:r>
      <w:r w:rsidR="00BC1EE6" w:rsidRPr="00490CA8">
        <w:t xml:space="preserve">и размещение на официальном интернет-сайте </w:t>
      </w:r>
      <w:r w:rsidR="00453A2D" w:rsidRPr="00990C6A">
        <w:rPr>
          <w:color w:val="000000"/>
        </w:rPr>
        <w:t xml:space="preserve">администрации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="00BC1EE6" w:rsidRPr="00490CA8"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информирование;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объявление предостережения;</w:t>
      </w:r>
    </w:p>
    <w:p w:rsidR="00BB62E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 консультирование;</w:t>
      </w:r>
    </w:p>
    <w:p w:rsidR="00A3147A" w:rsidRDefault="00A3147A" w:rsidP="00BB62E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4) профилактический визит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:rsidR="00BB62EA" w:rsidRDefault="00CB60A2" w:rsidP="00BB62EA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F80A7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F80A7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требований в</w:t>
      </w:r>
      <w:r w:rsidR="00F80A74">
        <w:rPr>
          <w:sz w:val="28"/>
          <w:szCs w:val="28"/>
        </w:rPr>
        <w:t xml:space="preserve"> </w:t>
      </w:r>
      <w:r w:rsidR="00BB62EA" w:rsidRPr="006D41DA">
        <w:rPr>
          <w:sz w:val="28"/>
          <w:szCs w:val="28"/>
        </w:rPr>
        <w:t xml:space="preserve">соблюдение </w:t>
      </w:r>
      <w:r w:rsidR="00BB62EA" w:rsidRPr="002D071A">
        <w:rPr>
          <w:rStyle w:val="bumpedfont15"/>
          <w:sz w:val="28"/>
          <w:szCs w:val="28"/>
        </w:rPr>
        <w:t xml:space="preserve">юридическими лицами, индивидуальными предпринимателями, гражданами (далее – контролируемые лица) </w:t>
      </w:r>
      <w:r w:rsidR="00BB62EA">
        <w:rPr>
          <w:sz w:val="28"/>
          <w:szCs w:val="28"/>
        </w:rPr>
        <w:t xml:space="preserve">обязательных требований </w:t>
      </w:r>
      <w:r w:rsidR="00BB62EA" w:rsidRPr="006D41DA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 w:rsidR="00BB62EA">
        <w:rPr>
          <w:sz w:val="28"/>
          <w:szCs w:val="28"/>
        </w:rPr>
        <w:t>.</w:t>
      </w:r>
    </w:p>
    <w:p w:rsidR="00CB60A2" w:rsidRPr="00CB60A2" w:rsidRDefault="00CB60A2" w:rsidP="00323685">
      <w:pPr>
        <w:ind w:firstLine="709"/>
        <w:jc w:val="both"/>
      </w:pPr>
      <w:r w:rsidRPr="00CB60A2">
        <w:lastRenderedPageBreak/>
        <w:t>Определяемый</w:t>
      </w:r>
      <w:r w:rsidR="00F80A74">
        <w:t xml:space="preserve"> </w:t>
      </w:r>
      <w:r w:rsidRPr="00CB60A2">
        <w:t xml:space="preserve">программой профилактики </w:t>
      </w:r>
      <w:r w:rsidR="00801384">
        <w:t>рисков</w:t>
      </w:r>
      <w:r w:rsidRPr="00CB60A2">
        <w:t xml:space="preserve"> показатель эффективности проводимых профилактических мероприятий при осуществлении </w:t>
      </w:r>
      <w:r w:rsidR="00801384">
        <w:t>му</w:t>
      </w:r>
      <w:r w:rsidR="009A2FC7">
        <w:t>ниципального контроля</w:t>
      </w:r>
      <w:r w:rsidR="00F80A74">
        <w:t xml:space="preserve"> </w:t>
      </w:r>
      <w:r w:rsidR="00BB62EA" w:rsidRPr="00BB62EA">
        <w:rPr>
          <w:rFonts w:eastAsiaTheme="minorHAnsi"/>
        </w:rPr>
        <w:t>на автомобильном транспорте  и в дорожном хозяйстве</w:t>
      </w:r>
      <w:r w:rsidRPr="00CB60A2"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23685">
        <w:t>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Pr="00CB60A2">
        <w:t>.</w:t>
      </w:r>
    </w:p>
    <w:p w:rsidR="00CB60A2" w:rsidRPr="00CB60A2" w:rsidRDefault="00CB60A2" w:rsidP="00323685">
      <w:pPr>
        <w:ind w:firstLine="708"/>
        <w:jc w:val="both"/>
      </w:pPr>
      <w:r w:rsidRPr="00CB60A2">
        <w:t xml:space="preserve">Сбор исходных данных для формирования показателя осуществляется по результатам мероприятий </w:t>
      </w:r>
      <w:r w:rsidR="009A2FC7">
        <w:t>муниципального контроля</w:t>
      </w:r>
      <w:r w:rsidR="00F80A74">
        <w:t xml:space="preserve"> </w:t>
      </w:r>
      <w:r w:rsidR="00323685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323685" w:rsidRPr="007540B8">
        <w:rPr>
          <w:rFonts w:eastAsiaTheme="minorHAnsi"/>
          <w:bCs/>
          <w:lang w:eastAsia="en-US"/>
        </w:rPr>
        <w:t>на территории Волховского муниципального района</w:t>
      </w:r>
      <w:r w:rsidR="00323685">
        <w:rPr>
          <w:rFonts w:eastAsiaTheme="minorHAnsi"/>
          <w:bCs/>
          <w:lang w:eastAsia="en-US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"Впм".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:rsidR="0035594E" w:rsidRPr="00CB60A2" w:rsidRDefault="00CB60A2" w:rsidP="0035594E">
      <w:pPr>
        <w:ind w:firstLine="709"/>
        <w:jc w:val="both"/>
      </w:pPr>
      <w:r w:rsidRPr="00CB60A2">
        <w:t xml:space="preserve">Показатель "Впм" определяется отношением количества контролируемых лиц, допустивших нарушения обязательных требований </w:t>
      </w:r>
      <w:r w:rsidR="0035594E" w:rsidRPr="00CB60A2">
        <w:t xml:space="preserve">в области </w:t>
      </w:r>
      <w:r w:rsidR="0035594E">
        <w:t xml:space="preserve"> 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="0035594E" w:rsidRPr="00CB60A2">
        <w:t>.</w:t>
      </w:r>
    </w:p>
    <w:p w:rsidR="00CB60A2" w:rsidRPr="00CB60A2" w:rsidRDefault="00927A09" w:rsidP="0035594E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r w:rsidRPr="00CB60A2"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(К</w:t>
      </w:r>
      <w:r w:rsidR="00454709">
        <w:rPr>
          <w:sz w:val="28"/>
          <w:szCs w:val="28"/>
        </w:rPr>
        <w:t>пм</w:t>
      </w:r>
      <w:r w:rsidR="00CB60A2" w:rsidRPr="00CB60A2">
        <w:rPr>
          <w:sz w:val="28"/>
          <w:szCs w:val="28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Впм = </w:t>
      </w:r>
      <w:r w:rsidR="00CB60A2" w:rsidRPr="00CB60A2">
        <w:rPr>
          <w:sz w:val="28"/>
          <w:szCs w:val="28"/>
        </w:rPr>
        <w:t>(</w:t>
      </w:r>
      <w:r w:rsidR="00A91EEF">
        <w:rPr>
          <w:sz w:val="28"/>
          <w:szCs w:val="28"/>
        </w:rPr>
        <w:t>Кн</w:t>
      </w:r>
      <w:r w:rsidR="00CB60A2" w:rsidRPr="00CB60A2">
        <w:rPr>
          <w:sz w:val="28"/>
          <w:szCs w:val="28"/>
        </w:rPr>
        <w:t xml:space="preserve"> / </w:t>
      </w:r>
      <w:r w:rsidR="00A91EEF">
        <w:rPr>
          <w:sz w:val="28"/>
          <w:szCs w:val="28"/>
        </w:rPr>
        <w:t>Кпм</w:t>
      </w:r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0"/>
          <w:footerReference w:type="default" r:id="rId11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A3147A" w:rsidRPr="007D2516" w:rsidRDefault="00A3147A" w:rsidP="00A3147A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lastRenderedPageBreak/>
        <w:t>Перечень профилактических мероприятий, сроки (периодичность) их проведения, показатели результативности и</w:t>
      </w:r>
      <w:r>
        <w:rPr>
          <w:b/>
        </w:rPr>
        <w:t xml:space="preserve"> </w:t>
      </w:r>
      <w:r w:rsidRPr="007D2516">
        <w:rPr>
          <w:b/>
        </w:rPr>
        <w:t>эффективности  программы</w:t>
      </w:r>
    </w:p>
    <w:p w:rsidR="00A3147A" w:rsidRPr="007D2516" w:rsidRDefault="00A3147A" w:rsidP="00A3147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842"/>
        <w:gridCol w:w="2127"/>
        <w:gridCol w:w="3402"/>
        <w:gridCol w:w="1276"/>
        <w:gridCol w:w="1275"/>
      </w:tblGrid>
      <w:tr w:rsidR="00A3147A" w:rsidRPr="00C1599C" w:rsidTr="000B15EA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>
              <w:rPr>
                <w:b/>
                <w:sz w:val="24"/>
                <w:szCs w:val="24"/>
              </w:rPr>
              <w:t xml:space="preserve">4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A3147A" w:rsidRPr="00C1599C" w:rsidRDefault="00A3147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A3147A" w:rsidRPr="00C1599C" w:rsidTr="000B15EA">
        <w:trPr>
          <w:trHeight w:hRule="exact" w:val="6264"/>
        </w:trPr>
        <w:tc>
          <w:tcPr>
            <w:tcW w:w="577" w:type="dxa"/>
            <w:shd w:val="clear" w:color="auto" w:fill="FFFFFF"/>
          </w:tcPr>
          <w:p w:rsidR="00A3147A" w:rsidRPr="00C1599C" w:rsidRDefault="00A3147A" w:rsidP="000B15EA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Pr="004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контроль», вкладка «Муниципальный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  и</w:t>
            </w:r>
          </w:p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>и в дорожном 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A" w:rsidRPr="00C1599C" w:rsidRDefault="00A3147A" w:rsidP="000B15EA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2127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402" w:type="dxa"/>
            <w:shd w:val="clear" w:color="auto" w:fill="FFFFFF"/>
          </w:tcPr>
          <w:p w:rsidR="00A3147A" w:rsidRPr="00C1599C" w:rsidRDefault="00A3147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3147A" w:rsidRPr="00C1599C" w:rsidRDefault="00A3147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A3147A" w:rsidRPr="00C1599C" w:rsidTr="000B15EA">
        <w:trPr>
          <w:trHeight w:hRule="exact" w:val="6494"/>
        </w:trPr>
        <w:tc>
          <w:tcPr>
            <w:tcW w:w="577" w:type="dxa"/>
            <w:shd w:val="clear" w:color="auto" w:fill="FFFFFF"/>
          </w:tcPr>
          <w:p w:rsidR="00A3147A" w:rsidRPr="00C1599C" w:rsidRDefault="00A3147A" w:rsidP="000B15EA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правоприменительной практики администрация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1842" w:type="dxa"/>
            <w:shd w:val="clear" w:color="auto" w:fill="FFFFFF"/>
          </w:tcPr>
          <w:p w:rsidR="00A3147A" w:rsidRPr="007703E6" w:rsidRDefault="00A3147A" w:rsidP="000B15EA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</w:t>
            </w:r>
            <w:r w:rsidRPr="00453A2D">
              <w:rPr>
                <w:color w:val="000000"/>
                <w:sz w:val="22"/>
                <w:szCs w:val="22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Pr="007703E6">
              <w:rPr>
                <w:sz w:val="22"/>
                <w:szCs w:val="22"/>
              </w:rPr>
              <w:t xml:space="preserve"> в разделе «Муниципальный контроль», </w:t>
            </w:r>
            <w:r>
              <w:rPr>
                <w:sz w:val="22"/>
                <w:szCs w:val="22"/>
              </w:rPr>
              <w:t xml:space="preserve">вкладка «Муниципальный </w:t>
            </w:r>
            <w:r w:rsidRPr="007703E6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</w:t>
            </w:r>
            <w:r w:rsidRPr="0035594E">
              <w:rPr>
                <w:sz w:val="22"/>
                <w:szCs w:val="22"/>
              </w:rPr>
              <w:t>на автомобильном</w:t>
            </w:r>
            <w:r>
              <w:rPr>
                <w:sz w:val="22"/>
                <w:szCs w:val="22"/>
              </w:rPr>
              <w:t xml:space="preserve"> </w:t>
            </w:r>
            <w:r w:rsidRPr="0035594E">
              <w:rPr>
                <w:sz w:val="22"/>
                <w:szCs w:val="22"/>
              </w:rPr>
              <w:t>транспорте  и в дорожном хозяйстве</w:t>
            </w:r>
            <w:r w:rsidRPr="007703E6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402" w:type="dxa"/>
            <w:shd w:val="clear" w:color="auto" w:fill="FFFFFF"/>
          </w:tcPr>
          <w:p w:rsidR="00A3147A" w:rsidRDefault="00A3147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A3147A" w:rsidRPr="00C1599C" w:rsidRDefault="00A3147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A3147A" w:rsidRPr="00C1599C" w:rsidTr="000B15EA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A3147A" w:rsidRPr="00C1599C" w:rsidRDefault="00A3147A" w:rsidP="000B15EA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A3147A" w:rsidRPr="00C1599C" w:rsidRDefault="00A3147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A3147A" w:rsidRPr="00C1599C" w:rsidRDefault="00A3147A" w:rsidP="000B15EA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402" w:type="dxa"/>
            <w:shd w:val="clear" w:color="auto" w:fill="FFFFFF"/>
          </w:tcPr>
          <w:p w:rsidR="00A3147A" w:rsidRPr="00C1599C" w:rsidRDefault="00A3147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A3147A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A3147A" w:rsidRPr="00C1599C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A3147A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A3147A" w:rsidRPr="00C1599C" w:rsidRDefault="00A3147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A3147A" w:rsidRPr="0035594E" w:rsidTr="000B15EA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A3147A" w:rsidRPr="0035594E" w:rsidRDefault="00A3147A" w:rsidP="000B15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A3147A" w:rsidRPr="0035594E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посредствам размещения на официальном сайте письменного разъяснения по однотипным обращениям ( более 10 однотипных обращений)  подписанного руководителем контрольного органа или заместителем руководителя контрольного органа;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3147A" w:rsidRPr="0035594E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 письменной форме при их письменном обращении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147A" w:rsidRPr="0035594E" w:rsidRDefault="00A3147A" w:rsidP="000B15EA">
            <w:pPr>
              <w:pStyle w:val="ConsPlusNormal"/>
              <w:ind w:left="-10" w:right="-1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2127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402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A3147A" w:rsidRPr="0035594E" w:rsidRDefault="00A3147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A3147A" w:rsidRPr="0035594E" w:rsidTr="000B15EA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A3147A" w:rsidRPr="0035594E" w:rsidRDefault="00A3147A" w:rsidP="000B15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FFFFFF"/>
          </w:tcPr>
          <w:p w:rsidR="00A3147A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Профилактический визит.</w:t>
            </w:r>
          </w:p>
          <w:p w:rsidR="00A3147A" w:rsidRPr="0035594E" w:rsidRDefault="00A3147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 Инспектор»</w:t>
            </w:r>
          </w:p>
        </w:tc>
        <w:tc>
          <w:tcPr>
            <w:tcW w:w="1842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 ( по мере необходимости) по инициативе контрольного органа ( обязательный профилактический визит) или по инициативе контролируемого лица</w:t>
            </w:r>
          </w:p>
        </w:tc>
        <w:tc>
          <w:tcPr>
            <w:tcW w:w="2127" w:type="dxa"/>
            <w:shd w:val="clear" w:color="auto" w:fill="FFFFFF"/>
          </w:tcPr>
          <w:p w:rsidR="00A3147A" w:rsidRPr="00C1599C" w:rsidRDefault="00A3147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402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проведенных обязательных профилактических визитов</w:t>
            </w:r>
          </w:p>
        </w:tc>
        <w:tc>
          <w:tcPr>
            <w:tcW w:w="1276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275" w:type="dxa"/>
            <w:shd w:val="clear" w:color="auto" w:fill="FFFFFF"/>
          </w:tcPr>
          <w:p w:rsidR="00A3147A" w:rsidRPr="0035594E" w:rsidRDefault="00A3147A" w:rsidP="000B15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60 %</w:t>
            </w:r>
          </w:p>
        </w:tc>
      </w:tr>
    </w:tbl>
    <w:p w:rsidR="00A3147A" w:rsidRPr="0035594E" w:rsidRDefault="00A3147A" w:rsidP="00A3147A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AC" w:rsidRDefault="00D755AC">
      <w:r>
        <w:separator/>
      </w:r>
    </w:p>
  </w:endnote>
  <w:endnote w:type="continuationSeparator" w:id="1">
    <w:p w:rsidR="00D755AC" w:rsidRDefault="00D7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AC" w:rsidRDefault="00D755AC">
      <w:r>
        <w:separator/>
      </w:r>
    </w:p>
  </w:footnote>
  <w:footnote w:type="continuationSeparator" w:id="1">
    <w:p w:rsidR="00D755AC" w:rsidRDefault="00D75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1504"/>
    <w:rsid w:val="00074EEA"/>
    <w:rsid w:val="000A21C2"/>
    <w:rsid w:val="000F4201"/>
    <w:rsid w:val="00132ABB"/>
    <w:rsid w:val="001406E3"/>
    <w:rsid w:val="001541A0"/>
    <w:rsid w:val="0016385C"/>
    <w:rsid w:val="00164668"/>
    <w:rsid w:val="001847A7"/>
    <w:rsid w:val="001A684F"/>
    <w:rsid w:val="001C4AE1"/>
    <w:rsid w:val="00211B9D"/>
    <w:rsid w:val="00231BC0"/>
    <w:rsid w:val="00256DB8"/>
    <w:rsid w:val="002626B7"/>
    <w:rsid w:val="00276FA9"/>
    <w:rsid w:val="002C43A3"/>
    <w:rsid w:val="0030318C"/>
    <w:rsid w:val="00320242"/>
    <w:rsid w:val="003206B4"/>
    <w:rsid w:val="00323685"/>
    <w:rsid w:val="0035594E"/>
    <w:rsid w:val="003759ED"/>
    <w:rsid w:val="0039421E"/>
    <w:rsid w:val="00396950"/>
    <w:rsid w:val="003D4FEF"/>
    <w:rsid w:val="003E1A83"/>
    <w:rsid w:val="00407D65"/>
    <w:rsid w:val="00411B9C"/>
    <w:rsid w:val="004221D1"/>
    <w:rsid w:val="00453A2D"/>
    <w:rsid w:val="00454709"/>
    <w:rsid w:val="00490CA8"/>
    <w:rsid w:val="004B12E4"/>
    <w:rsid w:val="004C30D8"/>
    <w:rsid w:val="004C3529"/>
    <w:rsid w:val="004D3E03"/>
    <w:rsid w:val="004E242D"/>
    <w:rsid w:val="004F42FB"/>
    <w:rsid w:val="00503B5D"/>
    <w:rsid w:val="00513079"/>
    <w:rsid w:val="005157E9"/>
    <w:rsid w:val="005223EB"/>
    <w:rsid w:val="00525968"/>
    <w:rsid w:val="00532CDA"/>
    <w:rsid w:val="00584F61"/>
    <w:rsid w:val="0059044B"/>
    <w:rsid w:val="005C2DC1"/>
    <w:rsid w:val="005D31B5"/>
    <w:rsid w:val="005E18B7"/>
    <w:rsid w:val="00627E9A"/>
    <w:rsid w:val="00630AAB"/>
    <w:rsid w:val="006405E0"/>
    <w:rsid w:val="00651514"/>
    <w:rsid w:val="00666C15"/>
    <w:rsid w:val="006835B4"/>
    <w:rsid w:val="006B3089"/>
    <w:rsid w:val="006C0413"/>
    <w:rsid w:val="006D380E"/>
    <w:rsid w:val="006D52A9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185D"/>
    <w:rsid w:val="007E2CFE"/>
    <w:rsid w:val="00801384"/>
    <w:rsid w:val="0082287A"/>
    <w:rsid w:val="00836DD5"/>
    <w:rsid w:val="00852451"/>
    <w:rsid w:val="00867099"/>
    <w:rsid w:val="00872C76"/>
    <w:rsid w:val="00887E66"/>
    <w:rsid w:val="008D5024"/>
    <w:rsid w:val="008E17E3"/>
    <w:rsid w:val="008E2DC0"/>
    <w:rsid w:val="008F1D55"/>
    <w:rsid w:val="00927A09"/>
    <w:rsid w:val="0093793E"/>
    <w:rsid w:val="00973F3E"/>
    <w:rsid w:val="00990C6A"/>
    <w:rsid w:val="0099402A"/>
    <w:rsid w:val="00994600"/>
    <w:rsid w:val="009A2FC7"/>
    <w:rsid w:val="009B5146"/>
    <w:rsid w:val="009C2B71"/>
    <w:rsid w:val="00A12FBC"/>
    <w:rsid w:val="00A3147A"/>
    <w:rsid w:val="00A32D01"/>
    <w:rsid w:val="00A60F53"/>
    <w:rsid w:val="00A77D90"/>
    <w:rsid w:val="00A91EEF"/>
    <w:rsid w:val="00AA15C9"/>
    <w:rsid w:val="00AB03A8"/>
    <w:rsid w:val="00AB651C"/>
    <w:rsid w:val="00AC2B39"/>
    <w:rsid w:val="00AC5FF2"/>
    <w:rsid w:val="00B30212"/>
    <w:rsid w:val="00B33828"/>
    <w:rsid w:val="00B33FC4"/>
    <w:rsid w:val="00B73E8E"/>
    <w:rsid w:val="00B82EEE"/>
    <w:rsid w:val="00BB4722"/>
    <w:rsid w:val="00BB62EA"/>
    <w:rsid w:val="00BC1EE6"/>
    <w:rsid w:val="00C026F4"/>
    <w:rsid w:val="00C1599C"/>
    <w:rsid w:val="00C338A7"/>
    <w:rsid w:val="00C70404"/>
    <w:rsid w:val="00C808D9"/>
    <w:rsid w:val="00C95A1B"/>
    <w:rsid w:val="00CA0E95"/>
    <w:rsid w:val="00CA6331"/>
    <w:rsid w:val="00CB60A2"/>
    <w:rsid w:val="00CC2062"/>
    <w:rsid w:val="00D1259B"/>
    <w:rsid w:val="00D14DF5"/>
    <w:rsid w:val="00D63568"/>
    <w:rsid w:val="00D755AC"/>
    <w:rsid w:val="00D96A56"/>
    <w:rsid w:val="00D97997"/>
    <w:rsid w:val="00DC0050"/>
    <w:rsid w:val="00DC5BF3"/>
    <w:rsid w:val="00DE1EF1"/>
    <w:rsid w:val="00DF157C"/>
    <w:rsid w:val="00E31A96"/>
    <w:rsid w:val="00E329FD"/>
    <w:rsid w:val="00E44B0C"/>
    <w:rsid w:val="00E46C4F"/>
    <w:rsid w:val="00E5220B"/>
    <w:rsid w:val="00E726DA"/>
    <w:rsid w:val="00E82F50"/>
    <w:rsid w:val="00E87EFB"/>
    <w:rsid w:val="00EA5CBB"/>
    <w:rsid w:val="00EF55C9"/>
    <w:rsid w:val="00F45635"/>
    <w:rsid w:val="00F80A74"/>
    <w:rsid w:val="00F956E8"/>
    <w:rsid w:val="00FB6A83"/>
    <w:rsid w:val="00FC0E20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3871-90E8-4D03-A00A-EC8B4430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4</cp:revision>
  <cp:lastPrinted>2024-12-06T09:22:00Z</cp:lastPrinted>
  <dcterms:created xsi:type="dcterms:W3CDTF">2025-11-18T09:19:00Z</dcterms:created>
  <dcterms:modified xsi:type="dcterms:W3CDTF">2025-11-18T12:18:00Z</dcterms:modified>
</cp:coreProperties>
</file>