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E4" w:rsidRDefault="000268E4" w:rsidP="000268E4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0268E4" w:rsidRDefault="000268E4" w:rsidP="000268E4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0268E4" w:rsidRDefault="000268E4" w:rsidP="000268E4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10 октября 2024 г.</w:t>
      </w:r>
    </w:p>
    <w:p w:rsidR="000268E4" w:rsidRDefault="000268E4" w:rsidP="000268E4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0268E4" w:rsidRDefault="000268E4" w:rsidP="000268E4">
      <w:pPr>
        <w:ind w:firstLine="567"/>
        <w:jc w:val="both"/>
        <w:rPr>
          <w:color w:val="000000"/>
        </w:rPr>
      </w:pPr>
    </w:p>
    <w:p w:rsidR="000268E4" w:rsidRDefault="000268E4" w:rsidP="000268E4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Облачная погода. Дожди, местами сильные, ночью на востоке местами с мокрым снегом. Ветер юго-восточный, южный 8-13 м/с, ночью и в начале дня местами порывы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+2...+7 гр., местами на востоке до -1 гр., днем +7...+12 гр., местами на востоке до +4 гр. Атмосферное давление будет понижаться.</w:t>
      </w:r>
    </w:p>
    <w:p w:rsidR="000268E4" w:rsidRDefault="000268E4" w:rsidP="000268E4">
      <w:pPr>
        <w:ind w:firstLine="709"/>
        <w:jc w:val="both"/>
        <w:rPr>
          <w:rFonts w:eastAsia="Arial Unicode MS"/>
          <w:color w:val="000000"/>
          <w:spacing w:val="-4"/>
          <w:sz w:val="24"/>
          <w:szCs w:val="24"/>
        </w:rPr>
      </w:pP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местами сильные дожди, порывы ветра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0268E4" w:rsidRDefault="000268E4" w:rsidP="000268E4">
      <w:pPr>
        <w:ind w:firstLine="709"/>
        <w:jc w:val="both"/>
      </w:pPr>
    </w:p>
    <w:p w:rsidR="000268E4" w:rsidRDefault="000268E4" w:rsidP="000268E4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0268E4" w:rsidRDefault="000268E4" w:rsidP="000268E4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0268E4" w:rsidRDefault="000268E4" w:rsidP="000268E4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268E4" w:rsidRDefault="000268E4" w:rsidP="000268E4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0268E4" w:rsidRDefault="000268E4" w:rsidP="000268E4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0268E4" w:rsidRDefault="000268E4" w:rsidP="000268E4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shd w:val="clear" w:color="auto" w:fill="FFFF00"/>
        </w:rPr>
      </w:pPr>
    </w:p>
    <w:p w:rsidR="000268E4" w:rsidRDefault="000268E4" w:rsidP="000268E4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09 октября 2024 года на территории Ленинградской области  зарегистрировано  278 859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274 959 человек выписаны, 3 518 летальных исходов.</w:t>
      </w:r>
    </w:p>
    <w:p w:rsidR="000268E4" w:rsidRDefault="000268E4" w:rsidP="000268E4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0268E4" w:rsidRDefault="000268E4" w:rsidP="000268E4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0268E4" w:rsidRDefault="000268E4" w:rsidP="000268E4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0268E4" w:rsidRDefault="000268E4" w:rsidP="000268E4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На всей территории 1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0268E4" w:rsidRDefault="000268E4" w:rsidP="000268E4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0268E4" w:rsidRDefault="000268E4" w:rsidP="000268E4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0268E4" w:rsidRDefault="000268E4" w:rsidP="000268E4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0268E4" w:rsidRDefault="000268E4" w:rsidP="000268E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0268E4" w:rsidRDefault="000268E4" w:rsidP="000268E4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отдых населения в лесной зоне);</w:t>
      </w:r>
    </w:p>
    <w:p w:rsidR="000268E4" w:rsidRDefault="000268E4" w:rsidP="000268E4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нарушение работы систем водоотведения, сильные дожди)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;</w:t>
      </w:r>
    </w:p>
    <w:p w:rsidR="000268E4" w:rsidRDefault="000268E4" w:rsidP="000268E4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порывы ветра 15-20 м/с, сильные дожди);</w:t>
      </w:r>
    </w:p>
    <w:p w:rsidR="000268E4" w:rsidRDefault="000268E4" w:rsidP="000268E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268E4" w:rsidRDefault="000268E4" w:rsidP="000268E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0268E4" w:rsidRDefault="000268E4" w:rsidP="000268E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0268E4" w:rsidRDefault="000268E4" w:rsidP="000268E4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0268E4" w:rsidRDefault="000268E4" w:rsidP="000268E4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0268E4" w:rsidRDefault="000268E4" w:rsidP="000268E4">
      <w:pPr>
        <w:tabs>
          <w:tab w:val="left" w:pos="567"/>
        </w:tabs>
        <w:ind w:firstLine="567"/>
        <w:jc w:val="both"/>
      </w:pPr>
    </w:p>
    <w:p w:rsidR="000268E4" w:rsidRDefault="000268E4" w:rsidP="000268E4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0,5),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268E4" w:rsidRDefault="000268E4" w:rsidP="000268E4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0,5)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268E4" w:rsidRDefault="000268E4" w:rsidP="000268E4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порывы ветра 15-20 м/с, сильные дожди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0268E4" w:rsidRDefault="000268E4" w:rsidP="000268E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0268E4" w:rsidRDefault="000268E4" w:rsidP="000268E4">
      <w:pPr>
        <w:ind w:firstLine="709"/>
        <w:jc w:val="both"/>
        <w:rPr>
          <w:shd w:val="clear" w:color="auto" w:fill="FFFF00"/>
        </w:rPr>
      </w:pPr>
    </w:p>
    <w:p w:rsidR="000268E4" w:rsidRDefault="000268E4" w:rsidP="000268E4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0268E4" w:rsidRDefault="000268E4" w:rsidP="000268E4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0268E4" w:rsidRDefault="000268E4" w:rsidP="000268E4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</w:t>
      </w:r>
      <w:r>
        <w:rPr>
          <w:color w:val="000000"/>
          <w:sz w:val="24"/>
          <w:szCs w:val="24"/>
        </w:rPr>
        <w:lastRenderedPageBreak/>
        <w:t>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0268E4" w:rsidRDefault="000268E4" w:rsidP="000268E4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268E4" w:rsidRDefault="000268E4" w:rsidP="000268E4">
      <w:pPr>
        <w:numPr>
          <w:ilvl w:val="0"/>
          <w:numId w:val="1"/>
        </w:numPr>
        <w:suppressAutoHyphens w:val="0"/>
        <w:ind w:left="0" w:firstLine="709"/>
        <w:jc w:val="both"/>
      </w:pPr>
    </w:p>
    <w:p w:rsidR="000268E4" w:rsidRDefault="000268E4" w:rsidP="000268E4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0268E4" w:rsidRDefault="000268E4" w:rsidP="000268E4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0268E4" w:rsidRDefault="000268E4" w:rsidP="000268E4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0268E4" w:rsidRDefault="000268E4" w:rsidP="000268E4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0268E4" w:rsidRDefault="000268E4" w:rsidP="000268E4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0268E4" w:rsidRDefault="000268E4" w:rsidP="000268E4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0268E4" w:rsidRDefault="000268E4" w:rsidP="000268E4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0268E4" w:rsidRDefault="000268E4" w:rsidP="000268E4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0268E4" w:rsidRDefault="000268E4" w:rsidP="000268E4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0268E4" w:rsidRDefault="000268E4" w:rsidP="000268E4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0268E4" w:rsidRDefault="000268E4" w:rsidP="000268E4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0268E4" w:rsidRDefault="000268E4" w:rsidP="000268E4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>По предупреждению биолого-социальной обстановки:</w:t>
      </w:r>
    </w:p>
    <w:p w:rsidR="000268E4" w:rsidRDefault="000268E4" w:rsidP="000268E4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0268E4" w:rsidRDefault="000268E4" w:rsidP="000268E4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0268E4" w:rsidRDefault="000268E4" w:rsidP="000268E4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0268E4" w:rsidRDefault="000268E4" w:rsidP="000268E4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0268E4" w:rsidRDefault="000268E4" w:rsidP="000268E4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0268E4" w:rsidRDefault="000268E4" w:rsidP="000268E4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0268E4" w:rsidRDefault="000268E4" w:rsidP="000268E4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0268E4" w:rsidRDefault="000268E4" w:rsidP="000268E4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0268E4" w:rsidRDefault="000268E4" w:rsidP="000268E4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0268E4" w:rsidRDefault="000268E4" w:rsidP="000268E4">
      <w:pPr>
        <w:suppressAutoHyphens w:val="0"/>
        <w:ind w:firstLine="709"/>
        <w:jc w:val="both"/>
      </w:pPr>
    </w:p>
    <w:p w:rsidR="000268E4" w:rsidRDefault="000268E4" w:rsidP="000268E4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  <w:r>
        <w:t xml:space="preserve">полковник внутренней службы </w:t>
      </w:r>
      <w:r>
        <w:tab/>
      </w:r>
      <w:r>
        <w:tab/>
      </w:r>
      <w:r>
        <w:tab/>
        <w:t xml:space="preserve">   </w:t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70485</wp:posOffset>
            </wp:positionV>
            <wp:extent cx="964565" cy="36576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" t="-844" r="-322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365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</w:t>
      </w:r>
      <w:r>
        <w:tab/>
        <w:t xml:space="preserve">П.Н. </w:t>
      </w:r>
      <w:proofErr w:type="spellStart"/>
      <w:r>
        <w:t>Стецун</w:t>
      </w:r>
      <w:proofErr w:type="spellEnd"/>
      <w:r>
        <w:t xml:space="preserve">                                                                    </w:t>
      </w: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           </w:t>
      </w:r>
      <w:r>
        <w:tab/>
      </w:r>
      <w:r>
        <w:tab/>
        <w:t>Н.А. Михеева</w:t>
      </w:r>
    </w:p>
    <w:p w:rsidR="000268E4" w:rsidRDefault="000268E4" w:rsidP="000268E4">
      <w:pPr>
        <w:tabs>
          <w:tab w:val="left" w:pos="284"/>
        </w:tabs>
        <w:suppressAutoHyphens w:val="0"/>
        <w:ind w:right="-426"/>
        <w:jc w:val="both"/>
      </w:pPr>
      <w:r>
        <w:rPr>
          <w:shd w:val="clear" w:color="auto" w:fill="FFFF00"/>
        </w:rPr>
        <w:t xml:space="preserve">                                                                                                       </w:t>
      </w:r>
    </w:p>
    <w:p w:rsidR="00192892" w:rsidRDefault="00192892" w:rsidP="00192892">
      <w:pPr>
        <w:tabs>
          <w:tab w:val="left" w:pos="284"/>
        </w:tabs>
        <w:suppressAutoHyphens w:val="0"/>
        <w:ind w:right="-426"/>
        <w:jc w:val="both"/>
      </w:pPr>
      <w:r>
        <w:t xml:space="preserve">                                                                                                       </w:t>
      </w:r>
    </w:p>
    <w:p w:rsidR="00D2736A" w:rsidRDefault="00192892">
      <w:r>
        <w:t>Передала: д</w:t>
      </w:r>
      <w:r w:rsidRPr="00946B89">
        <w:t xml:space="preserve">испетчер ЕДДС Волховского МР             </w:t>
      </w:r>
      <w:r>
        <w:t xml:space="preserve">              </w:t>
      </w:r>
      <w:r w:rsidRPr="00946B89">
        <w:t xml:space="preserve"> </w:t>
      </w:r>
      <w:r>
        <w:t xml:space="preserve">                                      </w:t>
      </w:r>
      <w:r w:rsidR="000268E4">
        <w:t>Т. Ю. Кузнецова</w:t>
      </w:r>
    </w:p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D5" w:rsidRDefault="00F153D5">
      <w:r>
        <w:separator/>
      </w:r>
    </w:p>
  </w:endnote>
  <w:endnote w:type="continuationSeparator" w:id="0">
    <w:p w:rsidR="00F153D5" w:rsidRDefault="00F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69" w:rsidRDefault="00C4546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69" w:rsidRDefault="00C454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D5" w:rsidRDefault="00F153D5">
      <w:r>
        <w:separator/>
      </w:r>
    </w:p>
  </w:footnote>
  <w:footnote w:type="continuationSeparator" w:id="0">
    <w:p w:rsidR="00F153D5" w:rsidRDefault="00F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1C"/>
    <w:rsid w:val="000268E4"/>
    <w:rsid w:val="00192892"/>
    <w:rsid w:val="004C730C"/>
    <w:rsid w:val="00BF2EBF"/>
    <w:rsid w:val="00C45469"/>
    <w:rsid w:val="00C97E1C"/>
    <w:rsid w:val="00CE2ECA"/>
    <w:rsid w:val="00D2736A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192892"/>
  </w:style>
  <w:style w:type="paragraph" w:styleId="a7">
    <w:name w:val="Body Text"/>
    <w:basedOn w:val="a"/>
    <w:link w:val="a8"/>
    <w:rsid w:val="0019289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19289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19289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19289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19289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192892"/>
  </w:style>
  <w:style w:type="paragraph" w:styleId="a7">
    <w:name w:val="Body Text"/>
    <w:basedOn w:val="a"/>
    <w:link w:val="a8"/>
    <w:rsid w:val="0019289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19289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19289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19289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19289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2024-10-09T10:21:00Z</dcterms:created>
  <dcterms:modified xsi:type="dcterms:W3CDTF">2024-10-09T10:23:00Z</dcterms:modified>
</cp:coreProperties>
</file>