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B9" w:rsidRDefault="00A82BB9" w:rsidP="00A82BB9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A82BB9" w:rsidRDefault="00A82BB9" w:rsidP="00A82BB9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A82BB9" w:rsidRDefault="00A82BB9" w:rsidP="00A82BB9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06 мая 2024 г.</w:t>
      </w:r>
    </w:p>
    <w:p w:rsidR="00A82BB9" w:rsidRDefault="00A82BB9" w:rsidP="00A82BB9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 xml:space="preserve">(подготовлен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A82BB9" w:rsidRDefault="00A82BB9" w:rsidP="00A82BB9">
      <w:pPr>
        <w:ind w:firstLine="567"/>
        <w:jc w:val="both"/>
        <w:rPr>
          <w:color w:val="000000"/>
        </w:rPr>
      </w:pPr>
    </w:p>
    <w:p w:rsidR="00A82BB9" w:rsidRDefault="00A82BB9" w:rsidP="00A82BB9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A82BB9" w:rsidRDefault="00A82BB9" w:rsidP="00A82BB9">
      <w:pPr>
        <w:pStyle w:val="Web"/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Переменная облачность. Без существенных осадков. Ветер северо-восточный, северный 3-8 м/с. Температура воздуха ночью 0...-5 гр., днем +5...+10 гр. Атмосферное давление будет повышаться</w:t>
      </w:r>
      <w:r>
        <w:rPr>
          <w:rFonts w:ascii="Arial" w:eastAsia="Arial Unicode MS" w:hAnsi="Arial"/>
          <w:color w:val="2C2D2E"/>
          <w:sz w:val="23"/>
          <w:szCs w:val="24"/>
          <w:bdr w:val="none" w:sz="0" w:space="0" w:color="000000"/>
        </w:rPr>
        <w:t>.</w:t>
      </w:r>
    </w:p>
    <w:p w:rsidR="00A82BB9" w:rsidRDefault="00A82BB9" w:rsidP="00A82BB9">
      <w:pPr>
        <w:pStyle w:val="a7"/>
        <w:spacing w:line="240" w:lineRule="auto"/>
        <w:jc w:val="both"/>
      </w:pPr>
      <w: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A82BB9" w:rsidRDefault="00A82BB9" w:rsidP="00A82BB9">
      <w:pPr>
        <w:pStyle w:val="a7"/>
        <w:spacing w:line="240" w:lineRule="auto"/>
        <w:ind w:firstLine="737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A82BB9" w:rsidRDefault="00A82BB9" w:rsidP="00A82BB9">
      <w:pPr>
        <w:ind w:firstLine="709"/>
        <w:jc w:val="both"/>
      </w:pPr>
    </w:p>
    <w:p w:rsidR="00A82BB9" w:rsidRDefault="00A82BB9" w:rsidP="00A82BB9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A82BB9" w:rsidRDefault="00A82BB9" w:rsidP="00A82BB9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имеются 23 стационарных гидрометеорологических поста для наблюдения за обстановкой.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   </w:t>
      </w:r>
    </w:p>
    <w:p w:rsidR="00A82BB9" w:rsidRDefault="00A82BB9" w:rsidP="00A82BB9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A82BB9" w:rsidRDefault="00A82BB9" w:rsidP="00A82BB9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A82BB9" w:rsidRDefault="00A82BB9" w:rsidP="00A82BB9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A82BB9" w:rsidRDefault="00A82BB9" w:rsidP="00A82BB9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По состоянию на 05 мая 2024 года на территории Ленинградской области зарегистрировано 275 453 случай заражения коронавирусной инфекцией, 271 633 человек выписаны, 3 517 летальных исходов.</w:t>
      </w:r>
    </w:p>
    <w:p w:rsidR="00A82BB9" w:rsidRDefault="00A82BB9" w:rsidP="00A82BB9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>5. Лесопожарная обстановка:</w:t>
      </w:r>
    </w:p>
    <w:p w:rsidR="00A82BB9" w:rsidRDefault="00A82BB9" w:rsidP="00A82BB9">
      <w:pPr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В большинстве районов 3 класс, за исключением Лодейнопольского, Бокситогорского, местами Выборгского и Подпорожского — 2 класс.</w:t>
      </w:r>
    </w:p>
    <w:p w:rsidR="00A82BB9" w:rsidRDefault="00A82BB9" w:rsidP="00A82BB9">
      <w:pPr>
        <w:widowControl w:val="0"/>
        <w:shd w:val="clear" w:color="auto" w:fill="FFFFFF"/>
        <w:tabs>
          <w:tab w:val="left" w:pos="845"/>
          <w:tab w:val="left" w:pos="2229"/>
        </w:tabs>
        <w:overflowPunct w:val="0"/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С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A82BB9" w:rsidRDefault="00A82BB9" w:rsidP="00A82BB9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A82BB9" w:rsidRDefault="00A82BB9" w:rsidP="00A82BB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A82BB9" w:rsidRDefault="00A82BB9" w:rsidP="00A82BB9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пожаров, связанных с палами травы, а также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работы, 3 класс пожароопасности);</w:t>
      </w:r>
    </w:p>
    <w:p w:rsidR="00A82BB9" w:rsidRDefault="00A82BB9" w:rsidP="00A82BB9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Источник – нарушение работы систем водоотведения, повышение сбросов в р. Вуокса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);</w:t>
      </w:r>
    </w:p>
    <w:p w:rsidR="00A82BB9" w:rsidRDefault="00A82BB9" w:rsidP="00A82BB9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>- повышается</w:t>
      </w:r>
      <w:r>
        <w:rPr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A82BB9" w:rsidRDefault="00A82BB9" w:rsidP="00A82BB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82BB9" w:rsidRDefault="00A82BB9" w:rsidP="00A82BB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коронавирусная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A82BB9" w:rsidRDefault="00A82BB9" w:rsidP="00A82BB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A82BB9" w:rsidRDefault="00A82BB9" w:rsidP="00A82BB9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A82BB9" w:rsidRDefault="00A82BB9" w:rsidP="00A82BB9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повышается вероятность выявления случаев клещевого энцефалита и боррелиоза (Источник - активизация жизнедеятельности клещей, сезон отдыха населения).</w:t>
      </w:r>
    </w:p>
    <w:p w:rsidR="00A82BB9" w:rsidRDefault="00A82BB9" w:rsidP="00A82BB9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A82BB9" w:rsidRDefault="00A82BB9" w:rsidP="00A82BB9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6.2. Техногенные ЧС: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Тосненский район 626-628 км, Тосненский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Лужский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воде);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линиях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A82BB9" w:rsidRDefault="00A82BB9" w:rsidP="00A82BB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A82BB9" w:rsidRDefault="00A82BB9" w:rsidP="00A82BB9">
      <w:pPr>
        <w:ind w:firstLine="709"/>
        <w:jc w:val="both"/>
      </w:pPr>
    </w:p>
    <w:p w:rsidR="00A82BB9" w:rsidRDefault="00A82BB9" w:rsidP="00A82BB9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A82BB9" w:rsidRDefault="00A82BB9" w:rsidP="00A82BB9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A82BB9" w:rsidRDefault="00A82BB9" w:rsidP="00A82BB9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A82BB9" w:rsidRDefault="00A82BB9" w:rsidP="00A82BB9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т.ч.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провести ревизию искусственных противопожарных водоисточников;</w:t>
      </w:r>
    </w:p>
    <w:p w:rsidR="00A82BB9" w:rsidRDefault="00A82BB9" w:rsidP="00A82BB9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A82BB9" w:rsidRDefault="00A82BB9" w:rsidP="00A82BB9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A82BB9" w:rsidRDefault="00A82BB9" w:rsidP="00A82BB9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A82BB9" w:rsidRDefault="00A82BB9" w:rsidP="00A82BB9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ГИБДД продолжить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A82BB9" w:rsidRDefault="00A82BB9" w:rsidP="00A82BB9">
      <w:pPr>
        <w:jc w:val="both"/>
      </w:pPr>
      <w:r>
        <w:rPr>
          <w:b/>
          <w:bCs/>
          <w:color w:val="000000"/>
          <w:sz w:val="24"/>
          <w:szCs w:val="24"/>
        </w:rPr>
        <w:tab/>
        <w:t>По предупреждению природных пожаров: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уточнить состав лесопожарных формирований, обеспечить готовность к выполнению задач по предназначению;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контроль за проверкой выявляемых термических аномалиях;</w:t>
      </w:r>
    </w:p>
    <w:p w:rsidR="00A82BB9" w:rsidRDefault="00A82BB9" w:rsidP="00A82BB9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A82BB9" w:rsidRDefault="00A82BB9" w:rsidP="00A82BB9">
      <w:pPr>
        <w:tabs>
          <w:tab w:val="left" w:pos="284"/>
          <w:tab w:val="left" w:pos="567"/>
        </w:tabs>
        <w:suppressAutoHyphens w:val="0"/>
        <w:ind w:left="720"/>
        <w:jc w:val="both"/>
      </w:pPr>
      <w:r>
        <w:rPr>
          <w:color w:val="000000"/>
          <w:sz w:val="24"/>
          <w:szCs w:val="24"/>
        </w:rPr>
        <w:t xml:space="preserve">         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A82BB9" w:rsidRDefault="00A82BB9" w:rsidP="00A82BB9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готовность к эксплуатации резервных ДЭС;</w:t>
      </w:r>
    </w:p>
    <w:p w:rsidR="00A82BB9" w:rsidRDefault="00A82BB9" w:rsidP="00A82BB9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A82BB9" w:rsidRDefault="00A82BB9" w:rsidP="00A82BB9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A82BB9" w:rsidRDefault="00A82BB9" w:rsidP="00A82BB9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A82BB9" w:rsidRDefault="00A82BB9" w:rsidP="00A82BB9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A82BB9" w:rsidRDefault="00A82BB9" w:rsidP="00A82BB9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A82BB9" w:rsidRDefault="00A82BB9" w:rsidP="00A82BB9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A82BB9" w:rsidRDefault="00A82BB9" w:rsidP="00A82BB9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A82BB9" w:rsidRDefault="00A82BB9" w:rsidP="00A82BB9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A82BB9" w:rsidRDefault="00A82BB9" w:rsidP="00A82BB9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A82BB9" w:rsidRDefault="00A82BB9" w:rsidP="00A82BB9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A82BB9" w:rsidRDefault="00A82BB9" w:rsidP="00A82BB9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</w:p>
    <w:p w:rsidR="00A82BB9" w:rsidRDefault="00A82BB9" w:rsidP="00A82BB9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организовать своевременное размещение в СМИ прогноза ЧС и происшествий, рекомендаций населению;уточнить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70ACE79" wp14:editId="149FC104">
            <wp:simplePos x="0" y="0"/>
            <wp:positionH relativeFrom="page">
              <wp:posOffset>3373755</wp:posOffset>
            </wp:positionH>
            <wp:positionV relativeFrom="page">
              <wp:posOffset>3256915</wp:posOffset>
            </wp:positionV>
            <wp:extent cx="1152525" cy="570865"/>
            <wp:effectExtent l="0" t="0" r="9525" b="63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cr/>
      </w: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A82BB9" w:rsidRDefault="00A82BB9" w:rsidP="00A82BB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A82BB9" w:rsidRDefault="00A82BB9" w:rsidP="00A82BB9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A82BB9" w:rsidRDefault="00A82BB9" w:rsidP="00A82BB9">
      <w:pPr>
        <w:suppressAutoHyphens w:val="0"/>
        <w:ind w:firstLine="709"/>
        <w:jc w:val="both"/>
      </w:pPr>
    </w:p>
    <w:p w:rsidR="00A82BB9" w:rsidRDefault="00A82BB9" w:rsidP="00A82BB9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A82BB9" w:rsidRDefault="00A82BB9" w:rsidP="00A82BB9">
      <w:pPr>
        <w:tabs>
          <w:tab w:val="left" w:pos="284"/>
        </w:tabs>
        <w:suppressAutoHyphens w:val="0"/>
        <w:ind w:right="-426"/>
        <w:jc w:val="both"/>
      </w:pPr>
    </w:p>
    <w:p w:rsidR="00A82BB9" w:rsidRDefault="00A82BB9" w:rsidP="00A82BB9">
      <w:pPr>
        <w:tabs>
          <w:tab w:val="left" w:pos="284"/>
        </w:tabs>
        <w:suppressAutoHyphens w:val="0"/>
        <w:ind w:right="-426"/>
        <w:jc w:val="both"/>
      </w:pPr>
      <w:r>
        <w:t>ЗНЦ (СОД) ЦУКС ГУ МЧС России по Ленинградской области</w:t>
      </w:r>
    </w:p>
    <w:p w:rsidR="00A82BB9" w:rsidRDefault="00A82BB9" w:rsidP="00A82BB9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    В.В. Быстров</w:t>
      </w:r>
    </w:p>
    <w:p w:rsidR="00A82BB9" w:rsidRDefault="00A82BB9" w:rsidP="00A82BB9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     </w:t>
      </w:r>
      <w:r>
        <w:t xml:space="preserve">    </w:t>
      </w:r>
      <w:r>
        <w:t xml:space="preserve">Я.В. Кравец  </w:t>
      </w:r>
    </w:p>
    <w:p w:rsidR="00A82BB9" w:rsidRPr="00A82BB9" w:rsidRDefault="00A82BB9" w:rsidP="00A82BB9">
      <w:bookmarkStart w:id="6" w:name="_GoBack"/>
      <w:bookmarkEnd w:id="6"/>
      <w:r>
        <w:t>Передал: д</w:t>
      </w:r>
      <w:r w:rsidRPr="00A82BB9">
        <w:t xml:space="preserve">испетчер ЕДДС Волховского МР           </w:t>
      </w:r>
      <w:r>
        <w:t xml:space="preserve">                                                          </w:t>
      </w:r>
      <w:r w:rsidRPr="00A82BB9">
        <w:t xml:space="preserve"> Е.М. Нешенкова</w:t>
      </w:r>
    </w:p>
    <w:p w:rsidR="00D2736A" w:rsidRDefault="00D2736A"/>
    <w:sectPr w:rsidR="00D2736A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2BB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2BB9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04"/>
    <w:rsid w:val="00724B04"/>
    <w:rsid w:val="00A82BB9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A82BB9"/>
  </w:style>
  <w:style w:type="paragraph" w:styleId="a7">
    <w:name w:val="Body Text"/>
    <w:basedOn w:val="a"/>
    <w:link w:val="a8"/>
    <w:rsid w:val="00A82BB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A82BB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A82BB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A82BB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A82BB9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A82BB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A82BB9"/>
  </w:style>
  <w:style w:type="paragraph" w:styleId="a7">
    <w:name w:val="Body Text"/>
    <w:basedOn w:val="a"/>
    <w:link w:val="a8"/>
    <w:rsid w:val="00A82BB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A82BB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A82BB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A82BB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A82BB9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A82BB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9756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2024-05-05T09:52:00Z</dcterms:created>
  <dcterms:modified xsi:type="dcterms:W3CDTF">2024-05-05T09:53:00Z</dcterms:modified>
</cp:coreProperties>
</file>