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99" w:rsidRDefault="00617699" w:rsidP="00617699">
      <w:pPr>
        <w:pStyle w:val="1"/>
        <w:keepNext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 от 28.12.2022</w:t>
      </w:r>
    </w:p>
    <w:p w:rsidR="00617699" w:rsidRDefault="00617699" w:rsidP="004649BA">
      <w:pPr>
        <w:pStyle w:val="1"/>
        <w:keepNext w:val="0"/>
        <w:jc w:val="center"/>
        <w:rPr>
          <w:sz w:val="28"/>
          <w:szCs w:val="28"/>
        </w:rPr>
      </w:pPr>
    </w:p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7699">
        <w:rPr>
          <w:sz w:val="28"/>
          <w:szCs w:val="28"/>
        </w:rPr>
        <w:t>________________</w:t>
      </w:r>
      <w:r>
        <w:rPr>
          <w:sz w:val="28"/>
          <w:szCs w:val="28"/>
        </w:rPr>
        <w:t>года                                                                              №</w:t>
      </w:r>
      <w:r w:rsidR="00E72D4F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8135AD" w:rsidRDefault="004B10DB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17699">
              <w:rPr>
                <w:b/>
                <w:sz w:val="28"/>
                <w:szCs w:val="28"/>
              </w:rPr>
              <w:t xml:space="preserve">от </w:t>
            </w:r>
            <w:r w:rsidR="008135AD" w:rsidRPr="00617699">
              <w:rPr>
                <w:b/>
                <w:sz w:val="28"/>
                <w:szCs w:val="28"/>
              </w:rPr>
              <w:t>20</w:t>
            </w:r>
            <w:r w:rsidRPr="00617699">
              <w:rPr>
                <w:b/>
                <w:sz w:val="28"/>
                <w:szCs w:val="28"/>
              </w:rPr>
              <w:t xml:space="preserve"> ноября 2020 г. № 2</w:t>
            </w:r>
            <w:r w:rsidR="008135AD" w:rsidRPr="00617699">
              <w:rPr>
                <w:b/>
                <w:sz w:val="28"/>
                <w:szCs w:val="28"/>
              </w:rPr>
              <w:t>0</w:t>
            </w:r>
            <w:r w:rsidRPr="00617699">
              <w:rPr>
                <w:b/>
                <w:sz w:val="28"/>
                <w:szCs w:val="28"/>
              </w:rPr>
              <w:t xml:space="preserve">1 </w:t>
            </w:r>
            <w:r w:rsidR="008135AD">
              <w:rPr>
                <w:b/>
                <w:sz w:val="28"/>
                <w:szCs w:val="28"/>
              </w:rPr>
              <w:t xml:space="preserve">«Об утверждении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муниципальной программы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</w:rPr>
              <w:t>«</w:t>
            </w:r>
            <w:r w:rsidRPr="00F81505">
              <w:rPr>
                <w:b/>
                <w:sz w:val="28"/>
                <w:szCs w:val="28"/>
              </w:rPr>
              <w:t xml:space="preserve">Повышение безопасности дорожного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  <w:sz w:val="28"/>
                <w:szCs w:val="28"/>
              </w:rPr>
              <w:t xml:space="preserve">движения на территории </w:t>
            </w:r>
            <w:r>
              <w:rPr>
                <w:b/>
                <w:sz w:val="28"/>
                <w:szCs w:val="28"/>
              </w:rPr>
              <w:t xml:space="preserve">МО </w:t>
            </w:r>
            <w:r w:rsidRPr="00F81505">
              <w:rPr>
                <w:b/>
                <w:sz w:val="28"/>
                <w:szCs w:val="28"/>
              </w:rPr>
              <w:t xml:space="preserve">Иссадское  </w:t>
            </w:r>
          </w:p>
          <w:p w:rsidR="008135AD" w:rsidRPr="00F81505" w:rsidRDefault="008135AD" w:rsidP="008135AD">
            <w:pPr>
              <w:pStyle w:val="a4"/>
              <w:jc w:val="center"/>
              <w:rPr>
                <w:b/>
              </w:rPr>
            </w:pPr>
            <w:r w:rsidRPr="00F81505">
              <w:rPr>
                <w:b/>
                <w:sz w:val="28"/>
                <w:szCs w:val="28"/>
              </w:rPr>
              <w:t>сельское поселение</w:t>
            </w:r>
            <w:r w:rsidRPr="00F81505">
              <w:rPr>
                <w:b/>
              </w:rPr>
              <w:t>»</w:t>
            </w:r>
          </w:p>
          <w:p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649BA" w:rsidRPr="001F005B" w:rsidRDefault="004649BA" w:rsidP="00482DC9"/>
        </w:tc>
      </w:tr>
    </w:tbl>
    <w:p w:rsidR="006E1D08" w:rsidRDefault="004B10DB" w:rsidP="006E1D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E1D08" w:rsidRPr="00AF390A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 w:rsidR="00E72D4F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E1D08" w:rsidRPr="00AF390A">
        <w:rPr>
          <w:sz w:val="28"/>
          <w:szCs w:val="28"/>
        </w:rPr>
        <w:t>, Федеральным 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целях  обеспечения безопасности дорожного движения автотранспортных средств и обеспечения защиты жизни и здоровья граждан</w:t>
      </w:r>
      <w:r w:rsidR="006E1D08">
        <w:rPr>
          <w:sz w:val="28"/>
          <w:szCs w:val="28"/>
        </w:rPr>
        <w:t>,</w:t>
      </w:r>
    </w:p>
    <w:p w:rsidR="004649BA" w:rsidRPr="001F005B" w:rsidRDefault="004649BA" w:rsidP="006E1D08">
      <w:pPr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6E1D08">
        <w:rPr>
          <w:sz w:val="28"/>
          <w:szCs w:val="28"/>
        </w:rPr>
        <w:t>20</w:t>
      </w:r>
      <w:r w:rsidR="00E72D4F">
        <w:rPr>
          <w:sz w:val="28"/>
          <w:szCs w:val="28"/>
        </w:rPr>
        <w:t xml:space="preserve"> </w:t>
      </w:r>
      <w:r w:rsidR="006E1D08">
        <w:rPr>
          <w:sz w:val="28"/>
          <w:szCs w:val="28"/>
        </w:rPr>
        <w:t>ноября 2020 г. № 20</w:t>
      </w:r>
      <w:r w:rsidR="004B10DB" w:rsidRPr="004B10DB">
        <w:rPr>
          <w:sz w:val="28"/>
          <w:szCs w:val="28"/>
        </w:rPr>
        <w:t xml:space="preserve">1 « Об утверждении  муниципальной программы  </w:t>
      </w:r>
      <w:r w:rsidR="006E1D08" w:rsidRPr="00894BDF">
        <w:t>«</w:t>
      </w:r>
      <w:r w:rsidR="006E1D08" w:rsidRPr="00894BDF">
        <w:rPr>
          <w:sz w:val="28"/>
          <w:szCs w:val="28"/>
        </w:rPr>
        <w:t xml:space="preserve">Повышение безопасности дорожного движения на территории </w:t>
      </w:r>
      <w:r w:rsidR="006E1D08">
        <w:rPr>
          <w:sz w:val="28"/>
          <w:szCs w:val="28"/>
        </w:rPr>
        <w:t>МО</w:t>
      </w:r>
      <w:r w:rsidR="006E1D08" w:rsidRPr="00894BDF">
        <w:rPr>
          <w:sz w:val="28"/>
          <w:szCs w:val="28"/>
        </w:rPr>
        <w:t xml:space="preserve"> Иссадское  сельское поселение</w:t>
      </w:r>
      <w:r w:rsidR="006E1D08" w:rsidRPr="00894BDF">
        <w:t>»</w:t>
      </w:r>
      <w:r w:rsidR="00617699">
        <w:t xml:space="preserve">  ( с изменениями от 28.12.2021 г. № 204)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Pr="00617699">
        <w:rPr>
          <w:sz w:val="28"/>
          <w:szCs w:val="28"/>
          <w:highlight w:val="yellow"/>
        </w:rPr>
        <w:t xml:space="preserve">Муниципальную программу </w:t>
      </w:r>
      <w:r w:rsidR="006E1D08" w:rsidRPr="00617699">
        <w:rPr>
          <w:highlight w:val="yellow"/>
        </w:rPr>
        <w:t>«</w:t>
      </w:r>
      <w:r w:rsidR="006E1D08" w:rsidRPr="00617699">
        <w:rPr>
          <w:sz w:val="28"/>
          <w:szCs w:val="28"/>
          <w:highlight w:val="yellow"/>
        </w:rPr>
        <w:t>Повышение безопасности дорожного движения на территории МО Иссадское  сельское поселение</w:t>
      </w:r>
      <w:r w:rsidR="006E1D08" w:rsidRPr="00617699">
        <w:rPr>
          <w:highlight w:val="yellow"/>
        </w:rPr>
        <w:t xml:space="preserve">» </w:t>
      </w:r>
      <w:r w:rsidRPr="00617699">
        <w:rPr>
          <w:sz w:val="28"/>
          <w:szCs w:val="28"/>
          <w:highlight w:val="yellow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61769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E72D4F">
        <w:rPr>
          <w:sz w:val="26"/>
          <w:szCs w:val="26"/>
        </w:rPr>
        <w:t xml:space="preserve"> </w:t>
      </w:r>
      <w:r w:rsidR="00617699">
        <w:rPr>
          <w:sz w:val="26"/>
          <w:szCs w:val="26"/>
        </w:rPr>
        <w:t xml:space="preserve">_____________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 </w:t>
      </w:r>
      <w:r w:rsidR="00617699">
        <w:rPr>
          <w:sz w:val="26"/>
          <w:szCs w:val="26"/>
        </w:rPr>
        <w:t>_____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546BF2" w:rsidRDefault="00546BF2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31432" w:rsidRPr="00A20AF4" w:rsidRDefault="00531432" w:rsidP="005314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531432" w:rsidRPr="00A448A9" w:rsidRDefault="00531432" w:rsidP="00531432">
      <w:pPr>
        <w:jc w:val="center"/>
        <w:rPr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>
        <w:rPr>
          <w:b/>
          <w:sz w:val="26"/>
          <w:szCs w:val="26"/>
        </w:rPr>
        <w:t xml:space="preserve"> </w:t>
      </w:r>
      <w:r w:rsidRPr="00A448A9">
        <w:rPr>
          <w:b/>
          <w:sz w:val="26"/>
          <w:szCs w:val="26"/>
        </w:rPr>
        <w:t>«Повышение безопасности дорожного движения на территории МО Иссадское сельское поселение»</w:t>
      </w:r>
    </w:p>
    <w:p w:rsidR="00531432" w:rsidRPr="00A20AF4" w:rsidRDefault="00531432" w:rsidP="00531432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544"/>
        <w:gridCol w:w="1544"/>
        <w:gridCol w:w="1544"/>
        <w:gridCol w:w="1544"/>
        <w:gridCol w:w="1119"/>
      </w:tblGrid>
      <w:tr w:rsidR="00531432" w:rsidRPr="00A20AF4" w:rsidTr="00531432">
        <w:trPr>
          <w:trHeight w:val="463"/>
        </w:trPr>
        <w:tc>
          <w:tcPr>
            <w:tcW w:w="3195" w:type="dxa"/>
          </w:tcPr>
          <w:p w:rsidR="00531432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295" w:type="dxa"/>
            <w:gridSpan w:val="5"/>
          </w:tcPr>
          <w:p w:rsidR="00531432" w:rsidRPr="009A4CD2" w:rsidRDefault="00531432" w:rsidP="00A9377D">
            <w:pPr>
              <w:jc w:val="center"/>
            </w:pPr>
            <w:r w:rsidRPr="00375703">
              <w:t>Муниципальная программа «Повышение безопасности дорожного движения на территории МО Иссадское сельское поселение»</w:t>
            </w:r>
          </w:p>
        </w:tc>
      </w:tr>
      <w:tr w:rsidR="00531432" w:rsidRPr="00A20AF4" w:rsidTr="00531432">
        <w:trPr>
          <w:trHeight w:val="446"/>
        </w:trPr>
        <w:tc>
          <w:tcPr>
            <w:tcW w:w="3195" w:type="dxa"/>
          </w:tcPr>
          <w:p w:rsidR="00531432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53143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531432" w:rsidRPr="00A20AF4" w:rsidTr="00531432">
        <w:trPr>
          <w:trHeight w:val="441"/>
        </w:trPr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531432" w:rsidRPr="00A20AF4" w:rsidTr="00531432">
        <w:trPr>
          <w:trHeight w:val="281"/>
        </w:trPr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295" w:type="dxa"/>
            <w:gridSpan w:val="5"/>
          </w:tcPr>
          <w:p w:rsidR="0053143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432" w:rsidRPr="00A20AF4" w:rsidTr="00531432">
        <w:trPr>
          <w:trHeight w:val="419"/>
        </w:trPr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531432" w:rsidRPr="00A20AF4" w:rsidTr="00531432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531432" w:rsidRPr="00375703" w:rsidRDefault="00531432" w:rsidP="00A9377D">
            <w:pPr>
              <w:pStyle w:val="consplusnonformat0"/>
              <w:spacing w:before="0" w:beforeAutospacing="0" w:after="0" w:afterAutospacing="0"/>
            </w:pPr>
            <w:r w:rsidRPr="00375703">
              <w:rPr>
                <w:sz w:val="22"/>
                <w:szCs w:val="22"/>
              </w:rPr>
              <w:t>улучшения состояния автомобильных дорог  общего пользования местного значения, улично-дорожной сети, повышение эффективности функционирования автомобильных дорог местного значения, в том числе объектов улично-дорожной сети на территории муниципального образования  Иссадское сельское поселение;</w:t>
            </w:r>
          </w:p>
          <w:p w:rsidR="00531432" w:rsidRPr="00521C79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образования Иссадское сельское поселение.</w:t>
            </w:r>
          </w:p>
        </w:tc>
      </w:tr>
      <w:tr w:rsidR="00531432" w:rsidRPr="00A20AF4" w:rsidTr="00531432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531432" w:rsidRPr="00375703" w:rsidRDefault="00531432" w:rsidP="00A937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1.Содержание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531432" w:rsidRPr="009A4CD2" w:rsidRDefault="00531432" w:rsidP="00A937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bCs/>
                <w:sz w:val="22"/>
                <w:szCs w:val="22"/>
              </w:rPr>
              <w:t>2.Совершенствование системы управления дорожным движением.</w:t>
            </w:r>
          </w:p>
        </w:tc>
      </w:tr>
      <w:tr w:rsidR="00531432" w:rsidRPr="00A20AF4" w:rsidTr="00531432"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531432" w:rsidRPr="00375703" w:rsidRDefault="00531432" w:rsidP="00A937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 xml:space="preserve">оддержание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дорог общего пользования местного значения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      </w:r>
          </w:p>
          <w:p w:rsidR="00531432" w:rsidRPr="00375703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снижение риска дорожно-транспортных происшествий, повышение комфортности движения.</w:t>
            </w:r>
          </w:p>
        </w:tc>
      </w:tr>
      <w:tr w:rsidR="00531432" w:rsidRPr="00A20AF4" w:rsidTr="00531432">
        <w:tc>
          <w:tcPr>
            <w:tcW w:w="3195" w:type="dxa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295" w:type="dxa"/>
            <w:gridSpan w:val="5"/>
          </w:tcPr>
          <w:p w:rsidR="00531432" w:rsidRPr="00A448A9" w:rsidRDefault="00531432" w:rsidP="00A937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531432" w:rsidRPr="00A20AF4" w:rsidTr="00531432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531432" w:rsidRPr="00690DA2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531432" w:rsidRPr="00690DA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1432" w:rsidRPr="00A20AF4" w:rsidTr="00531432">
        <w:trPr>
          <w:trHeight w:val="147"/>
        </w:trPr>
        <w:tc>
          <w:tcPr>
            <w:tcW w:w="3195" w:type="dxa"/>
            <w:vMerge w:val="restart"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3334,4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3023,3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311,1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1825,9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1825,9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4" w:type="dxa"/>
          </w:tcPr>
          <w:p w:rsidR="00531432" w:rsidRPr="00A20AF4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</w:t>
            </w:r>
          </w:p>
        </w:tc>
        <w:tc>
          <w:tcPr>
            <w:tcW w:w="1544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1432" w:rsidRPr="00A20AF4" w:rsidTr="00531432">
        <w:trPr>
          <w:trHeight w:val="143"/>
        </w:trPr>
        <w:tc>
          <w:tcPr>
            <w:tcW w:w="3195" w:type="dxa"/>
            <w:vMerge/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531432" w:rsidRPr="009A4CD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4CD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531432" w:rsidRPr="009A4CD2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10160,3</w:t>
            </w:r>
          </w:p>
        </w:tc>
        <w:tc>
          <w:tcPr>
            <w:tcW w:w="1544" w:type="dxa"/>
          </w:tcPr>
          <w:p w:rsidR="00531432" w:rsidRPr="009A4CD2" w:rsidRDefault="00A9377D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9849,2</w:t>
            </w:r>
          </w:p>
        </w:tc>
        <w:tc>
          <w:tcPr>
            <w:tcW w:w="1544" w:type="dxa"/>
          </w:tcPr>
          <w:p w:rsidR="00531432" w:rsidRPr="009A4CD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19" w:type="dxa"/>
          </w:tcPr>
          <w:p w:rsidR="00531432" w:rsidRPr="009A4CD2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311,1</w:t>
            </w:r>
          </w:p>
        </w:tc>
      </w:tr>
      <w:tr w:rsidR="00531432" w:rsidRPr="00A20AF4" w:rsidTr="00531432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531432" w:rsidRPr="00A20AF4" w:rsidRDefault="00531432" w:rsidP="00A937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531432" w:rsidRPr="00A20AF4" w:rsidRDefault="00531432" w:rsidP="00A93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649BA" w:rsidRDefault="004649BA"/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lastRenderedPageBreak/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сети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сети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его территории находятся 15 населённых пунктов, в которых постоянно проживают 1,9 тысячи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протяженность автомобильных дорог общего пользования  в МО Иссадское  сельском поселении составляет </w:t>
      </w:r>
      <w:r w:rsidR="00546BF2">
        <w:rPr>
          <w:sz w:val="28"/>
          <w:szCs w:val="28"/>
        </w:rPr>
        <w:t>35,1</w:t>
      </w:r>
      <w:r>
        <w:rPr>
          <w:sz w:val="28"/>
          <w:szCs w:val="28"/>
        </w:rPr>
        <w:t xml:space="preserve"> километра, в том числе из них  имеют твердое покрытие – 12,5, грунтовых дорог – </w:t>
      </w:r>
      <w:r w:rsidR="00546BF2">
        <w:rPr>
          <w:sz w:val="28"/>
          <w:szCs w:val="28"/>
        </w:rPr>
        <w:t>20,2</w:t>
      </w:r>
      <w:r>
        <w:rPr>
          <w:sz w:val="28"/>
          <w:szCs w:val="28"/>
        </w:rPr>
        <w:t xml:space="preserve">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546BF2" w:rsidRPr="002471EB" w:rsidRDefault="006B26BA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6BF2" w:rsidRPr="002471EB">
        <w:rPr>
          <w:sz w:val="28"/>
          <w:szCs w:val="28"/>
        </w:rPr>
        <w:t>Основной целью программы является Повышение эффективности функционирования автомобильных дорог местного значения, в том числе объектов улично-дорожной сети на территории муниц</w:t>
      </w:r>
      <w:r w:rsidR="00546BF2">
        <w:rPr>
          <w:sz w:val="28"/>
          <w:szCs w:val="28"/>
        </w:rPr>
        <w:t>ипального образования  Иссадское</w:t>
      </w:r>
      <w:r w:rsidR="00546BF2" w:rsidRPr="002471EB">
        <w:rPr>
          <w:sz w:val="28"/>
          <w:szCs w:val="28"/>
        </w:rPr>
        <w:t xml:space="preserve"> сельское поселение, 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</w:t>
      </w:r>
      <w:r w:rsidR="00546BF2">
        <w:rPr>
          <w:sz w:val="28"/>
          <w:szCs w:val="28"/>
        </w:rPr>
        <w:t>ания Иссадское</w:t>
      </w:r>
      <w:r w:rsidR="00546BF2" w:rsidRPr="002471EB">
        <w:rPr>
          <w:sz w:val="28"/>
          <w:szCs w:val="28"/>
        </w:rPr>
        <w:t xml:space="preserve"> сельское поселение.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- поддержание внутрипоселковых автомобильных дорог,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</w:r>
    </w:p>
    <w:p w:rsidR="00546BF2" w:rsidRPr="001D1128" w:rsidRDefault="00546BF2" w:rsidP="00546BF2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D1128">
        <w:rPr>
          <w:sz w:val="28"/>
          <w:szCs w:val="28"/>
        </w:rPr>
        <w:t>сокращение аварийности на участках концентрации ДТП</w:t>
      </w:r>
      <w:r>
        <w:rPr>
          <w:sz w:val="28"/>
          <w:szCs w:val="28"/>
        </w:rPr>
        <w:t xml:space="preserve"> </w:t>
      </w:r>
      <w:r w:rsidRPr="001D1128">
        <w:rPr>
          <w:sz w:val="28"/>
          <w:szCs w:val="28"/>
        </w:rPr>
        <w:t>инженерными методами совершенствование организации дорожного движения</w:t>
      </w:r>
      <w:r w:rsidRPr="002471EB">
        <w:rPr>
          <w:sz w:val="28"/>
          <w:szCs w:val="28"/>
        </w:rPr>
        <w:t xml:space="preserve"> 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- 20</w:t>
      </w:r>
      <w:r w:rsidR="00E72D4F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A9377D">
        <w:rPr>
          <w:sz w:val="28"/>
          <w:szCs w:val="28"/>
        </w:rPr>
        <w:t>5</w:t>
      </w:r>
      <w:r w:rsidRPr="002471EB">
        <w:rPr>
          <w:sz w:val="28"/>
          <w:szCs w:val="28"/>
        </w:rPr>
        <w:t xml:space="preserve"> годы.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областного и местного бюджетов, то в пределах срока действия программы этап реализации соответствует одному году. Средства местного бюджета направленны</w:t>
      </w:r>
      <w:r>
        <w:rPr>
          <w:sz w:val="28"/>
          <w:szCs w:val="28"/>
        </w:rPr>
        <w:t>е на мероприятия по улучшению</w:t>
      </w:r>
      <w:r w:rsidRPr="002471EB">
        <w:rPr>
          <w:sz w:val="28"/>
          <w:szCs w:val="28"/>
        </w:rPr>
        <w:t xml:space="preserve"> качества дорог местного значения внутри населенных пунктов поселения на очередной финансовый год составляют «Дорожный Фонд».</w:t>
      </w:r>
    </w:p>
    <w:p w:rsidR="00531432" w:rsidRDefault="00531432" w:rsidP="00546B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88" w:rsidRPr="00546BF2" w:rsidRDefault="00431D88" w:rsidP="00546B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546BF2" w:rsidRPr="00546BF2">
        <w:rPr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  <w:r w:rsidR="00F5397F" w:rsidRPr="00546BF2">
        <w:rPr>
          <w:sz w:val="28"/>
          <w:szCs w:val="28"/>
        </w:rPr>
        <w:t xml:space="preserve"> </w:t>
      </w:r>
      <w:r w:rsidR="001D2503" w:rsidRPr="00546BF2">
        <w:rPr>
          <w:sz w:val="28"/>
          <w:szCs w:val="28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 Развитие  безопасности дорожного движения</w:t>
      </w:r>
      <w:r w:rsidR="00FF0E88">
        <w:rPr>
          <w:b/>
          <w:bCs/>
          <w:i/>
          <w:iCs/>
          <w:sz w:val="28"/>
          <w:szCs w:val="28"/>
        </w:rPr>
        <w:t>»</w:t>
      </w:r>
    </w:p>
    <w:p w:rsidR="0082450E" w:rsidRPr="0082450E" w:rsidRDefault="0082450E" w:rsidP="0082450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82450E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местного значения, в том числе объектов улично-дорожной сети и сооружений на них.</w:t>
      </w:r>
    </w:p>
    <w:p w:rsidR="00F5397F" w:rsidRPr="0082450E" w:rsidRDefault="00482DC9" w:rsidP="0082450E">
      <w:pPr>
        <w:rPr>
          <w:sz w:val="28"/>
          <w:szCs w:val="28"/>
        </w:rPr>
      </w:pPr>
      <w:r w:rsidRPr="0082450E">
        <w:rPr>
          <w:sz w:val="28"/>
          <w:szCs w:val="28"/>
        </w:rPr>
        <w:t xml:space="preserve">  </w:t>
      </w:r>
      <w:r w:rsidR="00BA4A60" w:rsidRPr="0082450E">
        <w:rPr>
          <w:sz w:val="28"/>
          <w:szCs w:val="28"/>
        </w:rPr>
        <w:t xml:space="preserve">- </w:t>
      </w:r>
      <w:r w:rsidR="0082450E" w:rsidRPr="0082450E">
        <w:rPr>
          <w:sz w:val="28"/>
          <w:szCs w:val="28"/>
        </w:rPr>
        <w:t>Сокращение аварийности на участках концентрации ДТП инженерными методами совершенствование организации дорожного движения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5" w:name="_Hlk89256123"/>
      <w:r w:rsidRPr="001803A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5"/>
      <w:r w:rsidRPr="001803AE">
        <w:rPr>
          <w:rFonts w:eastAsia="Arial Unicode MS"/>
          <w:sz w:val="28"/>
          <w:szCs w:val="28"/>
        </w:rPr>
        <w:t>»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531432">
          <w:footerReference w:type="default" r:id="rId9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Default="00531432" w:rsidP="00482DC9">
            <w:r>
              <w:t>2025</w:t>
            </w:r>
          </w:p>
          <w:p w:rsidR="00531432" w:rsidRPr="001803AE" w:rsidRDefault="00531432" w:rsidP="00482DC9">
            <w:r>
              <w:t>год</w:t>
            </w:r>
          </w:p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322EA5" w:rsidRPr="00322EA5" w:rsidRDefault="00322EA5" w:rsidP="00322E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482DC9" w:rsidRPr="009F7DB8" w:rsidRDefault="00482DC9" w:rsidP="0092750D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322EA5" w:rsidP="00482DC9">
            <w:pPr>
              <w:jc w:val="center"/>
            </w:pPr>
            <w:r>
              <w:t>Км.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79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1185" w:type="dxa"/>
          </w:tcPr>
          <w:p w:rsidR="00482DC9" w:rsidRPr="001803AE" w:rsidRDefault="00531432" w:rsidP="00482DC9">
            <w:pPr>
              <w:jc w:val="center"/>
            </w:pPr>
            <w:r>
              <w:t>35,1</w:t>
            </w: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322EA5" w:rsidRDefault="00322EA5" w:rsidP="007C1FEC"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6A44C7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79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322EA5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22EA5">
              <w:t>Содержание 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322EA5" w:rsidP="0009342C">
            <w:pPr>
              <w:widowControl w:val="0"/>
              <w:autoSpaceDE w:val="0"/>
              <w:autoSpaceDN w:val="0"/>
            </w:pPr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322EA5">
              <w:t>снижение риска дорожно-транспортных происшествий, повышение комфортности движения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FF0E88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705CAE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617699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A9377D" w:rsidP="0009342C">
            <w:pPr>
              <w:widowControl w:val="0"/>
              <w:autoSpaceDE w:val="0"/>
              <w:autoSpaceDN w:val="0"/>
              <w:jc w:val="center"/>
            </w:pPr>
            <w:r>
              <w:t>3334,4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FF0E8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45AD" w:rsidRDefault="00A9377D" w:rsidP="00617699">
            <w:pPr>
              <w:widowControl w:val="0"/>
              <w:autoSpaceDE w:val="0"/>
              <w:autoSpaceDN w:val="0"/>
              <w:jc w:val="center"/>
            </w:pPr>
            <w:r>
              <w:t>3023,3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A9377D" w:rsidP="00482DC9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FF0E8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A9377D" w:rsidP="00482DC9">
            <w:pPr>
              <w:widowControl w:val="0"/>
              <w:autoSpaceDE w:val="0"/>
              <w:autoSpaceDN w:val="0"/>
              <w:jc w:val="center"/>
            </w:pPr>
            <w:r>
              <w:t>1825,9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A9377D" w:rsidP="00617699">
            <w:pPr>
              <w:widowControl w:val="0"/>
              <w:autoSpaceDE w:val="0"/>
              <w:autoSpaceDN w:val="0"/>
              <w:jc w:val="center"/>
            </w:pPr>
            <w:r>
              <w:t>1825,9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F0E88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A9377D" w:rsidP="00482DC9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A9377D" w:rsidP="00617699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531432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Default="00A9377D" w:rsidP="00482DC9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Default="00A9377D" w:rsidP="00617699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432" w:rsidRPr="001803AE" w:rsidRDefault="0053143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3143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531432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9377D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10160,3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FF0E88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9377D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9849,2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A9377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311,1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F8359D" w:rsidRPr="001803AE" w:rsidTr="004C4E14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9D" w:rsidRDefault="00F8359D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F8359D" w:rsidRPr="00386980" w:rsidRDefault="00F8359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1100,0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8359D" w:rsidRPr="001803AE" w:rsidTr="004C4E14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59D" w:rsidRPr="00386980" w:rsidRDefault="00F8359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B47033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45AD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3334,4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45AD" w:rsidRDefault="00F8359D" w:rsidP="00617699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45AD" w:rsidRDefault="00F8359D" w:rsidP="0061769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45AD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3023,3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F8359D" w:rsidRPr="001803AE" w:rsidTr="004C4E14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59D" w:rsidRPr="0038698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1825,9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1825,9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8359D" w:rsidRPr="001803AE" w:rsidTr="004C4E14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59D" w:rsidRPr="0038698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F8359D" w:rsidRPr="001803AE" w:rsidTr="004C4E14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38698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Default="00F8359D" w:rsidP="0059565F">
            <w:pPr>
              <w:widowControl w:val="0"/>
              <w:autoSpaceDE w:val="0"/>
              <w:autoSpaceDN w:val="0"/>
              <w:jc w:val="center"/>
            </w:pPr>
            <w:r>
              <w:t>1950,0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</w:pPr>
          </w:p>
        </w:tc>
      </w:tr>
      <w:tr w:rsidR="00F8359D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7940E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7940E0" w:rsidRDefault="00F8359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7940E0" w:rsidRDefault="00F8359D" w:rsidP="00F8359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59565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10160,3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59565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9849,2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9D" w:rsidRPr="001803AE" w:rsidRDefault="00F8359D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311,1</w:t>
            </w:r>
          </w:p>
        </w:tc>
      </w:tr>
      <w:bookmarkEnd w:id="6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03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482DC9" w:rsidRPr="001803AE" w:rsidTr="00E02737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E02737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E02737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FF0E88"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 w:rsidR="00FF0E8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8359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F8359D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10160,3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F8359D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1825,9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FF0E88" w:rsidRPr="001803AE" w:rsidTr="00E02737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Default="00FF0E88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F8359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F8359D" w:rsidP="0061769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10160,3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F8359D" w:rsidP="0061769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1825,9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6B2070" w:rsidRPr="001803AE" w:rsidTr="00E02737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5C41EA" w:rsidRDefault="006B2070" w:rsidP="00FF0E88">
            <w:pPr>
              <w:pStyle w:val="ConsPlusCell"/>
              <w:jc w:val="both"/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70" w:rsidRPr="00E02737" w:rsidRDefault="006B2070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2737">
              <w:rPr>
                <w:sz w:val="20"/>
                <w:szCs w:val="20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8359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115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10160,3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6B2070" w:rsidRPr="001803AE" w:rsidTr="00AC115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0E8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FF0E88" w:rsidRDefault="006B2070" w:rsidP="00E027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Расчистка, уборка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дорог, тротуаров, мостов  от снега, пыли и грязи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подсыпка</w:t>
            </w:r>
            <w:r w:rsidRPr="006E4504">
              <w:rPr>
                <w:rFonts w:ascii="Times New Roman" w:hAnsi="Times New Roman"/>
              </w:rPr>
              <w:t xml:space="preserve"> </w:t>
            </w:r>
            <w:r w:rsidRPr="00E02737">
              <w:rPr>
                <w:rFonts w:ascii="Times New Roman" w:hAnsi="Times New Roman"/>
                <w:sz w:val="24"/>
                <w:szCs w:val="24"/>
              </w:rPr>
              <w:t>противогололедными  материалами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D4189">
              <w:rPr>
                <w:rFonts w:ascii="Times New Roman" w:hAnsi="Times New Roman"/>
                <w:sz w:val="24"/>
                <w:szCs w:val="24"/>
              </w:rPr>
              <w:t xml:space="preserve"> освещение</w:t>
            </w:r>
            <w:r w:rsidR="00ED4189" w:rsidRPr="00FF0E88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улично-дорожной сети</w:t>
            </w:r>
            <w:r w:rsidR="00ED4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грейдирование дорог </w:t>
            </w:r>
          </w:p>
          <w:p w:rsidR="006B2070" w:rsidRPr="005C41EA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B2070" w:rsidRPr="001803AE" w:rsidRDefault="006B207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8359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3488,9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325,9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6B2070" w:rsidRPr="001803AE" w:rsidTr="00237DBF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0E8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FF0E88" w:rsidRDefault="006B2070" w:rsidP="006B20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</w:t>
            </w:r>
            <w:r w:rsidRPr="006B207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070">
              <w:rPr>
                <w:rFonts w:ascii="Times New Roman" w:hAnsi="Times New Roman" w:cs="Times New Roman"/>
                <w:sz w:val="24"/>
                <w:szCs w:val="24"/>
              </w:rPr>
              <w:t xml:space="preserve">  дорог общего пользования местного значения (коммунальные услуги)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C90EA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F8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617699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C90EA7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F1150">
              <w:rPr>
                <w:rFonts w:ascii="Times New Roman" w:hAnsi="Times New Roman" w:cs="Times New Roman"/>
                <w:sz w:val="24"/>
                <w:szCs w:val="24"/>
              </w:rPr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322EA5">
              <w:t>снижение риска дорожно-транспортных происшествий, повышение комфортности движения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F8359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D4189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937,4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D4189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617699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FF115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FF11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50">
              <w:rPr>
                <w:rFonts w:ascii="Times New Roman" w:hAnsi="Times New Roman"/>
                <w:sz w:val="24"/>
                <w:szCs w:val="24"/>
              </w:rPr>
              <w:t xml:space="preserve">Установка, замена дорожных знаков, пешеходных ограждений, искусственных неровностей , нанесение разметки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2063D1" w:rsidRDefault="00FF1150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F8359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D4189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937,4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D4189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9841FA" w:rsidRPr="001803AE" w:rsidTr="00CA3F18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841FA" w:rsidRPr="001803AE" w:rsidTr="00CA3F18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3180,8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2869,7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9841FA" w:rsidRPr="001803AE" w:rsidTr="00CA3F18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41FA" w:rsidRPr="001803AE" w:rsidTr="00CA3F18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41FA" w:rsidRPr="001803AE" w:rsidTr="00CA3F18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41FA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9841F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59565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4222,7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59565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59565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59565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3911,6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59565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311,1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9841FA" w:rsidRPr="001803AE" w:rsidTr="00E6605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Default="009841FA" w:rsidP="00FE121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9841FA" w:rsidRPr="00386980" w:rsidRDefault="009841FA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9841FA" w:rsidRPr="00B47033" w:rsidTr="00E6605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spacing w:after="200"/>
              <w:jc w:val="center"/>
            </w:pPr>
            <w:r>
              <w:t>3180,8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2869,7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9841FA" w:rsidRPr="001803AE" w:rsidTr="00E66059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9841FA" w:rsidRPr="001803AE" w:rsidTr="00E6605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9841FA" w:rsidRPr="001803AE" w:rsidTr="00E6605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spacing w:after="200"/>
              <w:jc w:val="center"/>
            </w:pPr>
            <w:r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9841FA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4222,7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CF442C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FE1211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9841FA" w:rsidP="00FE12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3911,6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9841FA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311,1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5E8" w:rsidRDefault="004D55E8" w:rsidP="00AE58DA">
      <w:r>
        <w:separator/>
      </w:r>
    </w:p>
  </w:endnote>
  <w:endnote w:type="continuationSeparator" w:id="1">
    <w:p w:rsidR="004D55E8" w:rsidRDefault="004D55E8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77D" w:rsidRDefault="00A9377D">
    <w:pPr>
      <w:pStyle w:val="ab"/>
    </w:pPr>
  </w:p>
  <w:p w:rsidR="00A9377D" w:rsidRDefault="00A9377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5E8" w:rsidRDefault="004D55E8" w:rsidP="00AE58DA">
      <w:r>
        <w:separator/>
      </w:r>
    </w:p>
  </w:footnote>
  <w:footnote w:type="continuationSeparator" w:id="1">
    <w:p w:rsidR="004D55E8" w:rsidRDefault="004D55E8" w:rsidP="00A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9342C"/>
    <w:rsid w:val="000A5B3E"/>
    <w:rsid w:val="000B35D7"/>
    <w:rsid w:val="001845AD"/>
    <w:rsid w:val="001D2503"/>
    <w:rsid w:val="00200277"/>
    <w:rsid w:val="002F15FE"/>
    <w:rsid w:val="00307225"/>
    <w:rsid w:val="00322EA5"/>
    <w:rsid w:val="00351A22"/>
    <w:rsid w:val="00386980"/>
    <w:rsid w:val="004274DC"/>
    <w:rsid w:val="00431D88"/>
    <w:rsid w:val="004649BA"/>
    <w:rsid w:val="004809CE"/>
    <w:rsid w:val="00482DC9"/>
    <w:rsid w:val="004B10DB"/>
    <w:rsid w:val="004D55E8"/>
    <w:rsid w:val="00531432"/>
    <w:rsid w:val="00546BF2"/>
    <w:rsid w:val="005C1EB4"/>
    <w:rsid w:val="005C33F9"/>
    <w:rsid w:val="005C41EA"/>
    <w:rsid w:val="005E01C6"/>
    <w:rsid w:val="00617699"/>
    <w:rsid w:val="0065685C"/>
    <w:rsid w:val="006A44C7"/>
    <w:rsid w:val="006B2070"/>
    <w:rsid w:val="006B26BA"/>
    <w:rsid w:val="006C0F1F"/>
    <w:rsid w:val="006C5E1E"/>
    <w:rsid w:val="006E1D08"/>
    <w:rsid w:val="00705CAE"/>
    <w:rsid w:val="007940E0"/>
    <w:rsid w:val="007C1FEC"/>
    <w:rsid w:val="008135AD"/>
    <w:rsid w:val="0082450E"/>
    <w:rsid w:val="00893ADB"/>
    <w:rsid w:val="008C08CC"/>
    <w:rsid w:val="008C0D38"/>
    <w:rsid w:val="00901B5B"/>
    <w:rsid w:val="009205D9"/>
    <w:rsid w:val="0092750D"/>
    <w:rsid w:val="00977685"/>
    <w:rsid w:val="009841FA"/>
    <w:rsid w:val="009F7DB8"/>
    <w:rsid w:val="00A42D60"/>
    <w:rsid w:val="00A9377D"/>
    <w:rsid w:val="00A96B4E"/>
    <w:rsid w:val="00AE58DA"/>
    <w:rsid w:val="00B01222"/>
    <w:rsid w:val="00B23179"/>
    <w:rsid w:val="00B73C73"/>
    <w:rsid w:val="00B80A66"/>
    <w:rsid w:val="00B84C70"/>
    <w:rsid w:val="00BA4A60"/>
    <w:rsid w:val="00BE0889"/>
    <w:rsid w:val="00C41CD6"/>
    <w:rsid w:val="00C61C62"/>
    <w:rsid w:val="00C90EA7"/>
    <w:rsid w:val="00C93351"/>
    <w:rsid w:val="00C9543B"/>
    <w:rsid w:val="00CF442C"/>
    <w:rsid w:val="00E02737"/>
    <w:rsid w:val="00E058CB"/>
    <w:rsid w:val="00E22456"/>
    <w:rsid w:val="00E41B64"/>
    <w:rsid w:val="00E72D4F"/>
    <w:rsid w:val="00E86900"/>
    <w:rsid w:val="00EA7C03"/>
    <w:rsid w:val="00ED4189"/>
    <w:rsid w:val="00F5397F"/>
    <w:rsid w:val="00F8359D"/>
    <w:rsid w:val="00FA249F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A80-FFEC-4FAF-9394-4631B40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3625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</cp:revision>
  <cp:lastPrinted>2021-12-28T12:07:00Z</cp:lastPrinted>
  <dcterms:created xsi:type="dcterms:W3CDTF">2021-12-28T12:07:00Z</dcterms:created>
  <dcterms:modified xsi:type="dcterms:W3CDTF">2023-01-15T07:22:00Z</dcterms:modified>
</cp:coreProperties>
</file>