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DF" w:rsidRPr="00F357DF" w:rsidRDefault="00F357DF" w:rsidP="00F357DF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F357D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F357DF" w:rsidRPr="00F357DF" w:rsidRDefault="00F357DF" w:rsidP="00F357DF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F357D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F357DF" w:rsidRPr="00F357DF" w:rsidRDefault="00F357DF" w:rsidP="00F357DF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F357D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21 ноября 2022 г.</w:t>
      </w:r>
    </w:p>
    <w:p w:rsidR="00F357DF" w:rsidRPr="00F357DF" w:rsidRDefault="00F357DF" w:rsidP="00F357DF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F357DF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F357DF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F357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F357DF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Облачная погода. Местами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небольшой снег.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Ветер ночью южный, юго-восточный 2-7 м/с, днем юго-восточный, восточный 4-9 м/</w:t>
      </w:r>
      <w:proofErr w:type="gram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-5...-10 гр.,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местами до -15 гр.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днем -3...-8 гр. На дорогах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 Атмосферное давление существенно не изменится.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F357DF" w:rsidRPr="00F357DF" w:rsidRDefault="00F357DF" w:rsidP="00F357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F357DF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</w:t>
      </w:r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рометеорологи</w:t>
      </w:r>
      <w:r w:rsidRPr="00F357DF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F357DF" w:rsidRPr="00F357DF" w:rsidRDefault="00F357DF" w:rsidP="00F357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F357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F357DF" w:rsidRPr="00F357DF" w:rsidRDefault="00F357DF" w:rsidP="00F357DF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F357D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F357DF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F357DF" w:rsidRPr="00F357DF" w:rsidRDefault="00F357DF" w:rsidP="00F357D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F35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F357DF" w:rsidRPr="00F357DF" w:rsidRDefault="00F357DF" w:rsidP="00F357DF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территории Ленинградской области зарегистрирован 237 191 случай заражения </w:t>
      </w:r>
      <w:proofErr w:type="spell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232 997 человек выписано, 3 504 летальных исходов. За прошедшие сутки зарегистрировано 52 случаев </w:t>
      </w:r>
      <w:proofErr w:type="spell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F3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F3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F357DF" w:rsidRPr="00F357DF" w:rsidRDefault="00F357DF" w:rsidP="00F357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F357D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F357D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F357D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F357DF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F357D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F357DF" w:rsidRPr="00F357DF" w:rsidRDefault="00F357DF" w:rsidP="00F357D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F357DF" w:rsidRPr="00F357DF" w:rsidRDefault="00F357DF" w:rsidP="00F357DF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F357DF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F357DF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F357DF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воздуха);</w:t>
      </w:r>
    </w:p>
    <w:p w:rsidR="00F357DF" w:rsidRPr="00F357DF" w:rsidRDefault="00F357DF" w:rsidP="00F357DF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F357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F357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F357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F357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357DF" w:rsidRPr="00F357DF" w:rsidRDefault="00F357DF" w:rsidP="00F357DF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F357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F357DF" w:rsidRPr="00F357DF" w:rsidRDefault="00F357DF" w:rsidP="00F357DF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F357DF" w:rsidRPr="00F357DF" w:rsidRDefault="00F357DF" w:rsidP="00F357DF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F357DF" w:rsidRPr="00F357DF" w:rsidRDefault="00F357DF" w:rsidP="00F357DF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shd w:val="clear" w:color="auto" w:fill="FFFF00"/>
          <w:lang w:eastAsia="zh-CN"/>
        </w:rPr>
      </w:pPr>
    </w:p>
    <w:p w:rsidR="00F357DF" w:rsidRPr="00F357DF" w:rsidRDefault="00F357DF" w:rsidP="00F357DF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proofErr w:type="gram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снег, гололедица</w:t>
      </w:r>
      <w:r w:rsidRPr="00F357D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снег, </w:t>
      </w:r>
      <w:r w:rsidRPr="00F357DF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>понижение температуры воздуха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до -15 гр.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proofErr w:type="spell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снег, мокрый снег, гололедица);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снег, мокрый снег, гололедица);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F357D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снег)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снег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F357DF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F357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F357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F357DF" w:rsidRPr="00F357DF" w:rsidRDefault="00F357DF" w:rsidP="00F357D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357DF" w:rsidRPr="00F357DF" w:rsidRDefault="00F357DF" w:rsidP="00F357D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F357DF" w:rsidRPr="00F357DF" w:rsidRDefault="00F357DF" w:rsidP="00F357D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F357DF" w:rsidRPr="00F357DF" w:rsidRDefault="00F357DF" w:rsidP="00F357D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357DF" w:rsidRPr="00F357DF" w:rsidRDefault="00F357DF" w:rsidP="00F357D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357DF" w:rsidRPr="00F357DF" w:rsidRDefault="00F357DF" w:rsidP="00F357D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357DF" w:rsidRPr="00F357DF" w:rsidRDefault="00F357DF" w:rsidP="00F357D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357DF" w:rsidRPr="00F357DF" w:rsidRDefault="00F357DF" w:rsidP="00F357DF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F357DF" w:rsidRPr="00F357DF" w:rsidRDefault="00F357DF" w:rsidP="00F357DF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357DF" w:rsidRPr="00F357DF" w:rsidRDefault="00F357DF" w:rsidP="00F357DF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357DF" w:rsidRPr="00F357DF" w:rsidRDefault="00F357DF" w:rsidP="00F357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357DF" w:rsidRPr="00F357DF" w:rsidRDefault="00F357DF" w:rsidP="00F357D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357DF" w:rsidRPr="00F357DF" w:rsidRDefault="00F357DF" w:rsidP="00F357DF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357DF" w:rsidRPr="00F357DF" w:rsidRDefault="00F357DF" w:rsidP="00F357D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F357DF" w:rsidRPr="00F357DF" w:rsidRDefault="00F357DF" w:rsidP="00F357DF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F357DF" w:rsidRPr="00F357DF" w:rsidRDefault="00F357DF" w:rsidP="00F357DF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F357DF" w:rsidRPr="00F357DF" w:rsidRDefault="00F357DF" w:rsidP="00F357DF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357DF" w:rsidRPr="00F357DF" w:rsidRDefault="00F357DF" w:rsidP="00F357DF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      </w:t>
      </w:r>
      <w:r w:rsidRPr="00F357DF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</w:t>
      </w:r>
      <w:r w:rsidRPr="00F357DF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ласти </w:t>
      </w:r>
    </w:p>
    <w:p w:rsidR="00F357DF" w:rsidRPr="00F357DF" w:rsidRDefault="00F357DF" w:rsidP="00F357DF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357DF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F357DF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inline distT="0" distB="0" distL="0" distR="0">
            <wp:extent cx="97536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201" r="-99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7DF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  <w:t xml:space="preserve">            В.В. Быстров</w:t>
      </w:r>
    </w:p>
    <w:p w:rsidR="00F357DF" w:rsidRPr="00F357DF" w:rsidRDefault="00F357DF" w:rsidP="00F357DF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35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П.И. Кононович</w:t>
      </w:r>
    </w:p>
    <w:p w:rsidR="00F357DF" w:rsidRPr="00F357DF" w:rsidRDefault="00F357DF" w:rsidP="00F35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57DF">
        <w:rPr>
          <w:rFonts w:ascii="Times New Roman" w:hAnsi="Times New Roman" w:cs="Times New Roman"/>
          <w:sz w:val="24"/>
          <w:szCs w:val="24"/>
        </w:rPr>
        <w:t>Передала: ди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57DF">
        <w:rPr>
          <w:rFonts w:ascii="Times New Roman" w:hAnsi="Times New Roman" w:cs="Times New Roman"/>
          <w:sz w:val="24"/>
          <w:szCs w:val="24"/>
        </w:rPr>
        <w:t xml:space="preserve">петчер ЕДДС </w:t>
      </w:r>
      <w:proofErr w:type="spellStart"/>
      <w:proofErr w:type="gramStart"/>
      <w:r w:rsidRPr="00F357DF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proofErr w:type="gramEnd"/>
      <w:r w:rsidRPr="00F357DF">
        <w:rPr>
          <w:rFonts w:ascii="Times New Roman" w:hAnsi="Times New Roman" w:cs="Times New Roman"/>
          <w:sz w:val="24"/>
          <w:szCs w:val="24"/>
        </w:rPr>
        <w:t xml:space="preserve"> МР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357DF">
        <w:rPr>
          <w:rFonts w:ascii="Times New Roman" w:hAnsi="Times New Roman" w:cs="Times New Roman"/>
          <w:sz w:val="24"/>
          <w:szCs w:val="24"/>
        </w:rPr>
        <w:t xml:space="preserve">Е.М. </w:t>
      </w:r>
      <w:proofErr w:type="spellStart"/>
      <w:r w:rsidRPr="00F357DF">
        <w:rPr>
          <w:rFonts w:ascii="Times New Roman" w:hAnsi="Times New Roman" w:cs="Times New Roman"/>
          <w:sz w:val="24"/>
          <w:szCs w:val="24"/>
        </w:rPr>
        <w:t>Нешенкова</w:t>
      </w:r>
      <w:proofErr w:type="spellEnd"/>
    </w:p>
    <w:bookmarkEnd w:id="3"/>
    <w:p w:rsidR="005935E0" w:rsidRPr="00F357DF" w:rsidRDefault="005935E0">
      <w:pPr>
        <w:rPr>
          <w:sz w:val="24"/>
          <w:szCs w:val="24"/>
        </w:rPr>
      </w:pPr>
    </w:p>
    <w:sectPr w:rsidR="005935E0" w:rsidRPr="00F357DF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7D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7D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AA"/>
    <w:rsid w:val="005935E0"/>
    <w:rsid w:val="00F357D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57DF"/>
  </w:style>
  <w:style w:type="paragraph" w:styleId="a5">
    <w:name w:val="Balloon Text"/>
    <w:basedOn w:val="a"/>
    <w:link w:val="a6"/>
    <w:uiPriority w:val="99"/>
    <w:semiHidden/>
    <w:unhideWhenUsed/>
    <w:rsid w:val="00F3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57DF"/>
  </w:style>
  <w:style w:type="paragraph" w:styleId="a5">
    <w:name w:val="Balloon Text"/>
    <w:basedOn w:val="a"/>
    <w:link w:val="a6"/>
    <w:uiPriority w:val="99"/>
    <w:semiHidden/>
    <w:unhideWhenUsed/>
    <w:rsid w:val="00F3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1504</Words>
  <Characters>8574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2022-11-20T10:02:00Z</dcterms:created>
  <dcterms:modified xsi:type="dcterms:W3CDTF">2022-11-20T10:05:00Z</dcterms:modified>
</cp:coreProperties>
</file>