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CF" w:rsidRPr="008547CF" w:rsidRDefault="008547CF" w:rsidP="008547CF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8547CF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8547CF" w:rsidRPr="008547CF" w:rsidRDefault="008547CF" w:rsidP="008547CF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8547CF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8547CF" w:rsidRPr="008547CF" w:rsidRDefault="008547CF" w:rsidP="008547CF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8547CF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11 октября 2022 г.</w:t>
      </w:r>
    </w:p>
    <w:p w:rsidR="008547CF" w:rsidRPr="008547CF" w:rsidRDefault="008547CF" w:rsidP="008547CF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font243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8547CF">
        <w:rPr>
          <w:rFonts w:ascii="Times New Roman" w:eastAsia="font243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8547CF">
        <w:rPr>
          <w:rFonts w:ascii="Times New Roman" w:eastAsia="font243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8547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8547CF">
        <w:rPr>
          <w:rFonts w:ascii="Times New Roman" w:eastAsia="font243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font243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Облачная с прояснениями погода. Ночью без осадков, днем в большинстве районов </w:t>
      </w:r>
      <w:r w:rsidRPr="008547CF">
        <w:rPr>
          <w:rFonts w:ascii="Times New Roman" w:eastAsia="font243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кратковременные дожди</w:t>
      </w:r>
      <w:r w:rsidRPr="008547CF">
        <w:rPr>
          <w:rFonts w:ascii="Times New Roman" w:eastAsia="font243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. Ветер южный, юго-западный ночью 4-9 м/с, днем 7-12 м/с, местами </w:t>
      </w:r>
      <w:r w:rsidRPr="008547CF">
        <w:rPr>
          <w:rFonts w:ascii="Times New Roman" w:eastAsia="font243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порывы до 15 м/</w:t>
      </w:r>
      <w:proofErr w:type="gramStart"/>
      <w:r w:rsidRPr="008547CF">
        <w:rPr>
          <w:rFonts w:ascii="Times New Roman" w:eastAsia="font243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</w:t>
      </w:r>
      <w:proofErr w:type="gramEnd"/>
      <w:r w:rsidRPr="008547CF">
        <w:rPr>
          <w:rFonts w:ascii="Times New Roman" w:eastAsia="font243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. </w:t>
      </w:r>
      <w:proofErr w:type="gramStart"/>
      <w:r w:rsidRPr="008547CF">
        <w:rPr>
          <w:rFonts w:ascii="Times New Roman" w:eastAsia="font243" w:hAnsi="Times New Roman" w:cs="Times New Roman"/>
          <w:bCs/>
          <w:color w:val="000000"/>
          <w:spacing w:val="-4"/>
          <w:sz w:val="24"/>
          <w:szCs w:val="24"/>
          <w:lang w:eastAsia="ru-RU"/>
        </w:rPr>
        <w:t>Температура</w:t>
      </w:r>
      <w:proofErr w:type="gramEnd"/>
      <w:r w:rsidRPr="008547CF">
        <w:rPr>
          <w:rFonts w:ascii="Times New Roman" w:eastAsia="font243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воздуха ночью +2...+7 гр., местами до -1 гр., днем +8...+13 гр. Атмосферное давление ночью будет понижаться.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8547C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8547C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не </w:t>
      </w:r>
      <w:r w:rsidRPr="008547C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прогнозируются</w:t>
      </w:r>
      <w:r w:rsidRPr="008547C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8547C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не </w:t>
      </w:r>
      <w:r w:rsidRPr="008547C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прогнозируются</w:t>
      </w:r>
      <w:r w:rsidRPr="008547C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8547C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8547C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8547CF" w:rsidRPr="008547CF" w:rsidRDefault="008547CF" w:rsidP="008547C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547C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8547C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8547C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</w:t>
      </w:r>
      <w:r w:rsidRPr="008547CF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8547CF" w:rsidRPr="008547CF" w:rsidRDefault="008547CF" w:rsidP="008547C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8547C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8547C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8547CF" w:rsidRPr="008547CF" w:rsidRDefault="008547CF" w:rsidP="008547CF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8547CF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8547CF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8547CF" w:rsidRPr="008547CF" w:rsidRDefault="008547CF" w:rsidP="008547C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854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8547CF" w:rsidRPr="008547CF" w:rsidRDefault="008547CF" w:rsidP="008547CF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8547CF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8547C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233 921 случай заражения </w:t>
      </w:r>
      <w:proofErr w:type="spellStart"/>
      <w:r w:rsidRPr="008547C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8547C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8547CF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226 948 человек выписано, 3 497</w:t>
      </w:r>
      <w:r w:rsidRPr="008547C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122 случая </w:t>
      </w:r>
      <w:proofErr w:type="spellStart"/>
      <w:r w:rsidRPr="008547C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8547CF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854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854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8547CF" w:rsidRPr="008547CF" w:rsidRDefault="008547CF" w:rsidP="008547C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8547CF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8547CF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8547CF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8547CF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8547CF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highlight w:val="yellow"/>
          <w:lang w:eastAsia="ar-SA"/>
        </w:rPr>
      </w:pP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8547CF" w:rsidRPr="008547CF" w:rsidRDefault="008547CF" w:rsidP="008547CF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8547CF" w:rsidRPr="008547CF" w:rsidRDefault="008547CF" w:rsidP="008547CF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8547C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сохраняется </w:t>
      </w:r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вероятность</w:t>
      </w:r>
      <w:r w:rsidRPr="008547C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8547C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8547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нарушение правил безопасности в лесах и на воде, порывы ветра до 15 м/с, дожди);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8547CF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8547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;</w:t>
      </w:r>
    </w:p>
    <w:p w:rsidR="008547CF" w:rsidRPr="008547CF" w:rsidRDefault="008547CF" w:rsidP="008547CF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8547C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существует вероятность</w:t>
      </w:r>
      <w:r w:rsidRPr="008547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8547CF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коронавирусная</w:t>
      </w:r>
      <w:proofErr w:type="spellEnd"/>
      <w:r w:rsidRPr="008547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инфекция). </w:t>
      </w:r>
      <w:r w:rsidRPr="008547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8547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8547CF" w:rsidRPr="008547CF" w:rsidRDefault="008547CF" w:rsidP="008547CF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существует </w:t>
      </w:r>
      <w:r w:rsidRPr="008547CF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8547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8547C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8547CF" w:rsidRPr="008547CF" w:rsidRDefault="008547CF" w:rsidP="008547CF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8547CF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).</w:t>
      </w:r>
    </w:p>
    <w:p w:rsidR="008547CF" w:rsidRPr="008547CF" w:rsidRDefault="008547CF" w:rsidP="008547C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C9211E"/>
          <w:spacing w:val="-4"/>
          <w:sz w:val="24"/>
          <w:szCs w:val="24"/>
          <w:lang w:eastAsia="zh-CN"/>
        </w:rPr>
      </w:pPr>
    </w:p>
    <w:p w:rsidR="008547CF" w:rsidRPr="008547CF" w:rsidRDefault="008547CF" w:rsidP="008547CF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8547CF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сохраняется</w:t>
      </w:r>
      <w:r w:rsidRPr="008547CF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вероятность происшествий 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Лужский</w:t>
      </w:r>
      <w:proofErr w:type="spellEnd"/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133-134 км; 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 дожди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, порывы ветра до 15 м/с</w:t>
      </w:r>
      <w:r w:rsidRPr="008547CF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8547CF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сохраняется</w:t>
      </w:r>
      <w:r w:rsidRPr="008547CF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8547CF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8547CF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и 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нарушения мер безопасности на воде,</w:t>
      </w:r>
      <w:r w:rsidRPr="008547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дожди, порывы ветра до 15 м/с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lastRenderedPageBreak/>
        <w:t>-</w:t>
      </w:r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сохраняется вероятность 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0,5) </w:t>
      </w:r>
      <w:proofErr w:type="spellStart"/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8547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порывы ветра до 15 м/с, дожди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8547CF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сохраняется вероятность 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8547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, порывы ветра до 15 м/с, дожди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- </w:t>
      </w:r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сохраняется</w:t>
      </w:r>
      <w:r w:rsidRPr="008547C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вероятность 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0,5) </w:t>
      </w:r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линиях</w:t>
      </w:r>
      <w:proofErr w:type="gramEnd"/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сетей, повышение нагрузки на сети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, порывы ветра до 15 м/с, дожди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;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повышается</w:t>
      </w:r>
      <w:r w:rsidRPr="008547CF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0,5) </w:t>
      </w:r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, порывы ветра до 15 м/с);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8547C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сохраняется</w:t>
      </w:r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8547CF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8547CF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8547CF" w:rsidRPr="008547CF" w:rsidRDefault="008547CF" w:rsidP="008547C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8547CF" w:rsidRPr="008547CF" w:rsidRDefault="008547CF" w:rsidP="008547C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8547CF" w:rsidRPr="008547CF" w:rsidRDefault="008547CF" w:rsidP="008547C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8547CF" w:rsidRPr="008547CF" w:rsidRDefault="008547CF" w:rsidP="008547CF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8547CF" w:rsidRPr="008547CF" w:rsidRDefault="008547CF" w:rsidP="008547CF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8547CF" w:rsidRPr="008547CF" w:rsidRDefault="008547CF" w:rsidP="008547CF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8547CF" w:rsidRPr="008547CF" w:rsidRDefault="008547CF" w:rsidP="008547C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органами ГИ</w:t>
      </w:r>
      <w:proofErr w:type="gramStart"/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8547CF" w:rsidRPr="008547CF" w:rsidRDefault="008547CF" w:rsidP="008547CF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8547CF" w:rsidRPr="008547CF" w:rsidRDefault="008547CF" w:rsidP="008547CF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8547CF" w:rsidRPr="008547CF" w:rsidRDefault="008547CF" w:rsidP="008547CF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8547CF" w:rsidRPr="008547CF" w:rsidRDefault="008547CF" w:rsidP="008547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8547CF" w:rsidRPr="008547CF" w:rsidRDefault="008547CF" w:rsidP="008547C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8547CF" w:rsidRPr="008547CF" w:rsidRDefault="008547CF" w:rsidP="008547CF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8547CF" w:rsidRPr="008547CF" w:rsidRDefault="008547CF" w:rsidP="008547CF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8547CF" w:rsidRPr="008547CF" w:rsidRDefault="008547CF" w:rsidP="008547CF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8547CF" w:rsidRPr="008547CF" w:rsidRDefault="008547CF" w:rsidP="008547CF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547CF" w:rsidRPr="008547CF" w:rsidRDefault="008547CF" w:rsidP="008547CF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547CF" w:rsidRPr="008547CF" w:rsidRDefault="008547CF" w:rsidP="008547CF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GoBack"/>
      <w:r w:rsidRPr="008547CF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8547CF" w:rsidRDefault="008547CF" w:rsidP="008547CF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5AAD956" wp14:editId="1660A57E">
            <wp:simplePos x="0" y="0"/>
            <wp:positionH relativeFrom="column">
              <wp:posOffset>2237105</wp:posOffset>
            </wp:positionH>
            <wp:positionV relativeFrom="paragraph">
              <wp:posOffset>76200</wp:posOffset>
            </wp:positionV>
            <wp:extent cx="569595" cy="46482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2" t="-700" r="-572" b="-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7CF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8547CF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8547CF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8547CF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8547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М.П. Андреева</w:t>
      </w:r>
    </w:p>
    <w:p w:rsidR="008547CF" w:rsidRDefault="008547CF" w:rsidP="008547CF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547CF" w:rsidRDefault="008547CF" w:rsidP="008547CF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547CF" w:rsidRDefault="008547CF" w:rsidP="008547CF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547CF" w:rsidRPr="008547CF" w:rsidRDefault="008547CF" w:rsidP="008547CF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 диспетчер ЕДДС  Волховского МР                      А.А. Терещенко</w:t>
      </w:r>
      <w:bookmarkEnd w:id="3"/>
    </w:p>
    <w:sectPr w:rsidR="008547CF" w:rsidRPr="008547CF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3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47C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47C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1B"/>
    <w:rsid w:val="00137801"/>
    <w:rsid w:val="002D301B"/>
    <w:rsid w:val="008547CF"/>
    <w:rsid w:val="009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5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54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5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5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1472</Words>
  <Characters>8396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2022-10-10T09:57:00Z</dcterms:created>
  <dcterms:modified xsi:type="dcterms:W3CDTF">2022-10-10T09:58:00Z</dcterms:modified>
</cp:coreProperties>
</file>